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EXC</w:t>
      </w:r>
      <w:r>
        <w:rPr>
          <w:rFonts w:ascii="Calibri" w:hAnsi="Calibri"/>
          <w:b/>
          <w:color w:val="1A2010"/>
          <w:sz w:val="40"/>
        </w:rPr>
        <w:t xml:space="preserve">  Exelon Corporation</w:t>
      </w:r>
    </w:p>
    <w:p>
      <w:pPr>
        <w:spacing w:after="120"/>
      </w:pPr>
      <w:r>
        <w:rPr>
          <w:rFonts w:ascii="Calibri" w:hAnsi="Calibri"/>
          <w:b/>
          <w:color w:val="6E8450"/>
          <w:sz w:val="18"/>
        </w:rPr>
        <w:t>DIVIDEND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NASDAQ · United States</w:t>
      </w:r>
    </w:p>
    <w:p>
      <w:pPr>
        <w:spacing w:after="80"/>
      </w:pPr>
      <w:r>
        <w:rPr>
          <w:rFonts w:ascii="Calibri" w:hAnsi="Calibri"/>
          <w:b w:val="0"/>
          <w:color w:val="3A4A28"/>
          <w:sz w:val="20"/>
        </w:rPr>
        <w:t>Exelon Corporation is a utility services holding company that distributes and transmits electricity and natural gas through six regulated utility subsidiaries (ComEd, PECO, BGE, Pepco, DPL, ACE) serving approximately 10 million customers across the mid-Atlantic and Midwest regions.</w:t>
      </w:r>
    </w:p>
    <w:p>
      <w:r>
        <w:rPr>
          <w:rFonts w:ascii="Calibri" w:hAnsi="Calibri"/>
          <w:b/>
          <w:color w:val="6E8450"/>
          <w:sz w:val="18"/>
        </w:rPr>
        <w:t>20,571 Employees · https://www.exeloncorp.com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Exelon's $41.3 billion four-year capital plan through 2029 focuses on grid modernization to support growing electricity demand, including data center expansion [1]. The company achieved operating ROE of 9.7% in 2025, within its 9-10% target range, demonstrating efficient capital deployment. However, as a pure regulated utility without generation assets, Exelon's innovation is primarily in grid infrastructure rather than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Exelon serves 10 million customers through six utility subsidiaries, providing essential electric and gas service. The company's commitment to grid reliability and clean energy transition provides purpose, but the regulated utility model and 20,571-employee workforce across multiple subsidiaries creates a large, distributed organization where cultural cohesion is challenging to maintain.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Exelon delivered 2025 adjusted operating EPS of $2.77, beating Q4 estimates with $0.59 vs. $0.55 consensus [1]. The 2026 guidance of $2.81-$2.91 represents 6%+ growth, with long-term 5-7% EPS CAGR targeting near the top end through 2029. The 58.6% payout ratio is well-covered, and the planned 5% annual dividend growth provides visible income growth. However, D/E of 174% is elevated even for utilities, and profit margin of 11.4% is modest.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Exelon's pure-play regulated utility model provides inherent stability and long-term orientation, with the $41.3B infrastructure investment plan demonstrating commitment to multi-decade grid modernization. However, the regulated framework limits strategic flexibility and competitive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reliable electricity to 10 million customers across essential service territories represents an enduring public service mission [1]. The clean energy transition and grid modernization investment support long-term societal value, and the company's separation from generation (Constellation) sharpened its focus on transmission and distribution.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Exelon's 20,571 employees across six utility subsidiaries represent a complex organizational structure where cross-subsidiary collaboration and trust-building are inherently challenging. The company's stable regulatory framework provides job security but also limits the entrepreneurial culture that drives deep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regulated monopoly across its service territories, Exelon has limited direct competitive rivalry. The company benchmarks against utility peers on operating ROE (9.7% in 2025) and reliability metrics, but competitive pressure is primarily regulatory rather than market-driven.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separation from Constellation's generation assets was a major strategic move that simplified the business and focused on regulated returns [1]. The pivot to capturing data center demand shows adaptability within the regulated framework. However, the utility model inherently limits transformational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$41.3B capital plan and $3.4B equity issuance represent bold commitments for a regulated utility [1]. Exelon's willingness to invest ahead of demand for grid modernization and the clean energy transition shows leadership, though these investments carry regulated cost recovery that limits downside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Exelon offers a defensive utility investment with 5-7% EPS growth, 3.5% dividend yield, and 5% annual dividend increases targeting 10-12% total returns through 2029 [1]. The $41.3B capital plan drives 7.9% rate base growth supported by surging data center electricity demand in key mid-Atlantic markets. The Q4 2025 EPS beat ($0.59 vs. $0.55 consensus) and 2026 guidance of $2.81-$2.91 demonstrate execution, while 13.5% credit metrics exceed Moody's thresholds by 150 basis points, supporting the A-rated balance sheet.</w:t>
      </w:r>
    </w:p>
    <w:p>
      <w:pPr>
        <w:spacing w:after="120"/>
      </w:pPr>
      <w:r>
        <w:rPr>
          <w:rFonts w:ascii="Calibri" w:hAnsi="Calibri"/>
          <w:b w:val="0"/>
          <w:color w:val="3A4A28"/>
          <w:sz w:val="20"/>
        </w:rPr>
        <w:t>The bear case revolves around capital intensity and regulatory execution risk. The $41.3B capex plan requires $3.4B in equity issuance and $16B in debt, which could pressure returns if rate case outcomes are unfavorable [1]. D/E of 174% is already elevated, and retail electricity prices increased 4.8% in 2025, creating regulatory pushback risk. Revenue declined 1.1% in 2025 despite growing demand, reflecting the lag between investment and rate recovery. The 15.9x forward P/E offers limited valuation discount relative to the sector, and rising interest rates increase the cost of Exelon's massive debt load.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electricity demand projected to triple by 2032 directly benefits Exelon's mid-Atlantic service territories, with the $41.3B capex plan sized to capture incremental load growth [1]</w:t>
      </w:r>
    </w:p>
    <w:p>
      <w:pPr>
        <w:spacing w:before="40" w:after="40"/>
        <w:ind w:left="283"/>
      </w:pPr>
      <w:r>
        <w:rPr>
          <w:rFonts w:ascii="Calibri" w:hAnsi="Calibri"/>
          <w:b/>
          <w:color w:val="4A6B25"/>
          <w:sz w:val="20"/>
        </w:rPr>
        <w:t xml:space="preserve">2. </w:t>
      </w:r>
      <w:r>
        <w:rPr>
          <w:rFonts w:ascii="Calibri" w:hAnsi="Calibri"/>
          <w:b w:val="0"/>
          <w:color w:val="3A4A28"/>
          <w:sz w:val="20"/>
        </w:rPr>
        <w:t>ComEd's $243M rate increase approved by ICC effective January 2026, plus pending rate cases across subsidiaries, should drive 2026-2027 earnings growth</w:t>
      </w:r>
    </w:p>
    <w:p>
      <w:pPr>
        <w:spacing w:before="40" w:after="40"/>
        <w:ind w:left="283"/>
      </w:pPr>
      <w:r>
        <w:rPr>
          <w:rFonts w:ascii="Calibri" w:hAnsi="Calibri"/>
          <w:b/>
          <w:color w:val="4A6B25"/>
          <w:sz w:val="20"/>
        </w:rPr>
        <w:t xml:space="preserve">3. </w:t>
      </w:r>
      <w:r>
        <w:rPr>
          <w:rFonts w:ascii="Calibri" w:hAnsi="Calibri"/>
          <w:b w:val="0"/>
          <w:color w:val="3A4A28"/>
          <w:sz w:val="20"/>
        </w:rPr>
        <w:t>EPS CAGR targeting near the top end of 5-7% through 2029, supported by 7.9% rate base growth and operational efficiency gains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Rising retail electricity prices (4.8% in 2025) could trigger regulatory pushback, resulting in lower allowed ROEs or disallowed costs in rate case proceedings [1]</w:t>
      </w:r>
    </w:p>
    <w:p>
      <w:pPr>
        <w:spacing w:before="40" w:after="40"/>
        <w:ind w:left="283"/>
      </w:pPr>
      <w:r>
        <w:rPr>
          <w:rFonts w:ascii="Calibri" w:hAnsi="Calibri"/>
          <w:b/>
          <w:color w:val="4A6B25"/>
          <w:sz w:val="20"/>
        </w:rPr>
        <w:t xml:space="preserve">2. </w:t>
      </w:r>
      <w:r>
        <w:rPr>
          <w:rFonts w:ascii="Calibri" w:hAnsi="Calibri"/>
          <w:b w:val="0"/>
          <w:color w:val="3A4A28"/>
          <w:sz w:val="20"/>
        </w:rPr>
        <w:t>The $3.4B equity issuance program creates dilution risk that could offset EPS growth if utility multiples compress in a rising rate environment</w:t>
      </w:r>
    </w:p>
    <w:p>
      <w:pPr>
        <w:spacing w:before="40" w:after="40"/>
        <w:ind w:left="283"/>
      </w:pPr>
      <w:r>
        <w:rPr>
          <w:rFonts w:ascii="Calibri" w:hAnsi="Calibri"/>
          <w:b/>
          <w:color w:val="4A6B25"/>
          <w:sz w:val="20"/>
        </w:rPr>
        <w:t xml:space="preserve">3. </w:t>
      </w:r>
      <w:r>
        <w:rPr>
          <w:rFonts w:ascii="Calibri" w:hAnsi="Calibri"/>
          <w:b w:val="0"/>
          <w:color w:val="3A4A28"/>
          <w:sz w:val="20"/>
        </w:rPr>
        <w:t>Concentration in mid-Atlantic service territories exposes Exelon to regional economic slowdowns and potential customer migration to rooftop solar/distributed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Exelon is a primary beneficiary of AI-driven electricity demand growth, with U.S. data center demand projected to triple by 2032 [1]. The company's service territories in the mid-Atlantic and Midwest include key data center markets (Northern Virginia through PECO/Pepco territories). Growing electricity demand drives rate base expansion, and the $41.3B capex plan through 2029 targets 7.9% annualized rate base growth to capture this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Exelon Corporation Q4/FY2025 Earnings Release and 2026 Guidance, February 12, 2026</w:t>
      </w:r>
    </w:p>
    <w:p>
      <w:pPr>
        <w:spacing w:before="20" w:after="20"/>
        <w:ind w:left="170"/>
      </w:pPr>
      <w:r>
        <w:rPr>
          <w:rFonts w:ascii="Calibri" w:hAnsi="Calibri"/>
          <w:b/>
          <w:color w:val="4A6B25"/>
          <w:sz w:val="15"/>
        </w:rPr>
        <w:t xml:space="preserve">2. </w:t>
      </w:r>
      <w:r>
        <w:rPr>
          <w:rFonts w:ascii="Calibri" w:hAnsi="Calibri"/>
          <w:b w:val="0"/>
          <w:color w:val="3A4A28"/>
          <w:sz w:val="17"/>
        </w:rPr>
        <w:t>Exelon Corporation Investor Presentation and Capital Plan Update, 2025-2029</w:t>
      </w:r>
    </w:p>
    <w:p>
      <w:pPr>
        <w:spacing w:before="20" w:after="20"/>
        <w:ind w:left="170"/>
      </w:pPr>
      <w:r>
        <w:rPr>
          <w:rFonts w:ascii="Calibri" w:hAnsi="Calibri"/>
          <w:b/>
          <w:color w:val="4A6B25"/>
          <w:sz w:val="15"/>
        </w:rPr>
        <w:t xml:space="preserve">3. </w:t>
      </w:r>
      <w:r>
        <w:rPr>
          <w:rFonts w:ascii="Calibri" w:hAnsi="Calibri"/>
          <w:b w:val="0"/>
          <w:color w:val="3A4A28"/>
          <w:sz w:val="17"/>
        </w:rPr>
        <w:t>Yahoo Finance — EXC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