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EXE</w:t>
      </w:r>
      <w:r>
        <w:rPr>
          <w:rFonts w:ascii="Calibri" w:hAnsi="Calibri"/>
          <w:b/>
          <w:color w:val="1A2010"/>
          <w:sz w:val="40"/>
        </w:rPr>
        <w:t xml:space="preserve">  Expand Energy Corporation</w:t>
      </w:r>
    </w:p>
    <w:p>
      <w:pPr>
        <w:spacing w:after="120"/>
      </w:pPr>
      <w:r>
        <w:rPr>
          <w:rFonts w:ascii="Calibri" w:hAnsi="Calibri"/>
          <w:b/>
          <w:color w:val="6E8450"/>
          <w:sz w:val="18"/>
        </w:rPr>
        <w:t>DIVIDEND SLEEVE · 2026-04-07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Expand Energy Corporation (formerly Chesapeake Energy) is the largest independent natural gas producer in the United States. The company operates in the Marcellus Shale (Pennsylvania, Ohio, West Virginia), Utica Shale, and Haynesville/Bossier Shales (Louisiana, Texas). Rebranded in October 2024 following the $7.4B merger with Southwestern Energy. Founded in 1989 and headquartered in Oklahoma City.</w:t>
      </w:r>
    </w:p>
    <w:p>
      <w:r>
        <w:rPr>
          <w:rFonts w:ascii="Calibri" w:hAnsi="Calibri"/>
          <w:b/>
          <w:color w:val="6E8450"/>
          <w:sz w:val="18"/>
        </w:rPr>
        <w:t>1,600 Employees · https://www.expandenergy.com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$7.4B all-stock merger with Southwestern Energy in October 2024 was a transformative deal that created the largest independent U.S. natural gas producer, exceeding synergy targets and improving Haynesville breakevens by ~15% in the first year [1]. The prior emergence from Chapter 11 bankruptcy in 2021 and subsequent reinvention under new management was itself a remarkable corporate pivot. AI Deployment (0/2): No AI-powered products or quantified AI-driven cost savings have been reported; the company focuses on operational efficiency through conventional drilling optimization [2]. Market Share (2/2): Expand Energy is the largest independent natural gas producer in the U.S. by net daily production (~7.40 Bcfe/d, 92% natural gas), a category-defining position in the critical LNG feedstock market [1]. Pipeline (1/2): 2026 guidance projects higher volumes with less capital, leveraging productive capacity to grow free cash flow [1]. The company targets $500M in annual synergies by end of 2026. R&amp;D Intensity (0/1): E&amp;P companies do not traditionally invest in R&amp;D; capital is allocated to drilling and completions.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Expand Energy's rebranding signals intentionality about being more than old Chesapeake — the name itself ('Expand') suggests growth and possibility [2]. The company pursues 'an innovative, results-driven culture which aligns executive compensation with environmental, operating, and equity performance.' Clear but not deeply distinctive. Community Impact (1/2): The company has published 12 consecutive years of sustainability reports and was the first to certify its natural gas production as responsibly sourced gas (RSG) across two major basins with MiQ and Equitable Origin [3]. Employee Retention (1/2): The company has 1,600 employees and emphasizes safety culture, but the CEO transition (Nick Dell'Osso departed February 2026, replaced by interim CEO Michael Wichterich) introduces leadership uncertainty [2]. Insider Buying (1/2): Wichterich's appointment as both chairman and interim CEO shows board commitment, but the sudden CEO departure raises questions about insider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Expand Energy's financial profile reflects strong top-line growth from the Southwestern merger offset by moderate profitability. D/E of 27.5% is excellent — among the best in E&amp;P — with $5.1B debt against substantial asset value [4]. ROE of 10.1% is below the 15% target but improving as synergies ramp [1]. Revenue grew 38.3% YoY to $11.64B driven by the Southwestern merger and higher gas prices [1]. Forward P/E of 11.1x is attractive for the largest independent natural gas producer [4]. Profit margin of 15.6% reflects commodity price volatility and integration costs [4]. Full-year net income of $1.82B ($7.57/share) demonstrates baseline profitability [1]. Dividend yield of 3.07% with a 42.1% payout ratio is near target [4]. Consecutive years paid: 5 (2021-2026), but growth is inconsistent due to variable/special dividends. Liquidity floor cleared: 4.03M avg vol x $103.55 = $417M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Expand Energy demonstrates mixed infinite game qualities. The company's resurrection from Chesapeake Energy's 2020 bankruptcy, subsequent transformation under new management, and the bold Southwestern merger show strategic ambition. However, the February 2026 CEO departure, legacy governance controversies, and the inherently finite nature of fossil fuel extraction create tension between long-term vision and short-term execution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Expand Energy's rebranding represents an attempt to define a cause beyond the troubled Chesapeake legacy — 'expanding' America's energy supply [2]. The company positions itself as essential infrastructure for the energy transition (natural gas as bridge fuel) and AI-driven electricity demand. This is functional and timely but has not been validated through decades of consistent execution — the company only emerged from bankruptcy in 2021.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The company emphasizes safety culture and aligns executive compensation with environmental and operating metrics, suggesting some organizational trust [2]. The successful Southwestern integration — exceeding synergy targets in year one — required effective team coordination across 1,600 employees [1]. However, CEO Dell'Osso's departure in February 2026 introduces leadership instability that undermines team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Expand Energy competes with EQT, Comstock Resources, and Range Resources in natural gas, using operational efficiency and basin diversification as differentiators [1]. The Southwestern merger was partly motivated by learning from EQT's Appalachian scale advantages. Management's focus on breakeven improvement (15% in Haynesville) suggests competitive motivation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The company has undergone a transformative evolution — from Aubrey McClendon's aggressive growth-at-all-costs Chesapeake to bankruptcy to disciplined reinvention under Dell'Osso to the Southwestern merger [3]. The rebrand to 'Expand Energy' signals a willingness to shed the past. However, the core business remains natural gas extraction — the flexibility has been financial and operational rather than a fundamental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The $7.4B Southwestern merger was a bold bet on natural gas's role in the energy transition, executed during commodity price uncertainty [1]. The decision to certify 100% of production as responsibly sourced gas showed willingness to invest in differentiation [3]. However, the CEO transition suggests the board prioritized near-term execution over leadership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Expand Energy is the largest independent U.S. natural gas producer (~7.40 Bcfe/d) at an inflection point where AI-driven electricity demand and LNG exports are creating structural tailwinds for natural gas [1]. Full-year 2025 net income of $1.82B ($7.57/share) with 38.3% revenue growth demonstrates the Southwestern merger's accretive impact [1]. Forward P/E of 11.1x with D/E of only 27.5% offers compelling value for a category leader targeting $500M in annual synergies by end of 2026 [1][4]. The 3.07% dividend yield provides income while the company grows free cash flow. Analyst consensus projects $9.13 EPS for 2026, representing 21% growth [1]. The company's basin diversification (Marcellus, Haynesville) provides optionality to serve both domestic and LNG export demand.</w:t>
      </w:r>
    </w:p>
    <w:p>
      <w:pPr>
        <w:spacing w:after="120"/>
      </w:pPr>
      <w:r>
        <w:rPr>
          <w:rFonts w:ascii="Calibri" w:hAnsi="Calibri"/>
          <w:b w:val="0"/>
          <w:color w:val="3A4A28"/>
          <w:sz w:val="20"/>
        </w:rPr>
        <w:t>The bear case highlights leadership uncertainty, commodity exposure, and legacy governance risk. CEO Nick Dell'Osso's sudden departure in February 2026, replaced by interim CEO Michael Wichterich, raises questions about strategic continuity during a critical integration period [2]. Natural gas prices remain volatile — ROE of 10.1% is below the 15% target despite strong revenue growth, suggesting margin compression from commodity swings [4]. Chesapeake's history includes the 2020 bankruptcy, Aubrey McClendon's governance scandals, EPA environmental fines, and felony fraud charges in Michigan — while the company has been transformed, the legacy creates reputational overhang [3]. Profit margin of 15.6% is moderate for an E&amp;P company, and the payout ratio of 42.1% with variable special dividends makes income unreliable. The stock has declined from $106.90 (50-day SMA) to $103.55, reflecting market uncertainty about the leadership transition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structural natural gas consumption growth — U.S. gas demand for power generation projected to increase 15-20% by 2030 [1]</w:t>
      </w:r>
    </w:p>
    <w:p>
      <w:pPr>
        <w:spacing w:before="40" w:after="40"/>
        <w:ind w:left="283"/>
      </w:pPr>
      <w:r>
        <w:rPr>
          <w:rFonts w:ascii="Calibri" w:hAnsi="Calibri"/>
          <w:b/>
          <w:color w:val="4A6B25"/>
          <w:sz w:val="20"/>
        </w:rPr>
        <w:t xml:space="preserve">2. </w:t>
      </w:r>
      <w:r>
        <w:rPr>
          <w:rFonts w:ascii="Calibri" w:hAnsi="Calibri"/>
          <w:b w:val="0"/>
          <w:color w:val="3A4A28"/>
          <w:sz w:val="20"/>
        </w:rPr>
        <w:t>Southwestern merger synergies ramping to $500M annually by end of 2026, with Haynesville breakevens already improved 15% in year one [1]</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could resolve leadership uncertainty and reignite institutional investor confidence in the Expand Energy transformation 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vacancy and leadership uncertainty during critical post-merger integration — interim CEO arrangement may delay strategic decisions on capital allocation and growth [2]</w:t>
      </w:r>
    </w:p>
    <w:p>
      <w:pPr>
        <w:spacing w:before="40" w:after="40"/>
        <w:ind w:left="283"/>
      </w:pPr>
      <w:r>
        <w:rPr>
          <w:rFonts w:ascii="Calibri" w:hAnsi="Calibri"/>
          <w:b/>
          <w:color w:val="4A6B25"/>
          <w:sz w:val="20"/>
        </w:rPr>
        <w:t xml:space="preserve">2. </w:t>
      </w:r>
      <w:r>
        <w:rPr>
          <w:rFonts w:ascii="Calibri" w:hAnsi="Calibri"/>
          <w:b w:val="0"/>
          <w:color w:val="3A4A28"/>
          <w:sz w:val="20"/>
        </w:rPr>
        <w:t>Natural gas price volatility — commodity price swings can compress margins rapidly despite operational excellence, as evidenced by 10.1% ROE despite 38% revenue growth [4]</w:t>
      </w:r>
    </w:p>
    <w:p>
      <w:pPr>
        <w:spacing w:before="40" w:after="40"/>
        <w:ind w:left="283"/>
      </w:pPr>
      <w:r>
        <w:rPr>
          <w:rFonts w:ascii="Calibri" w:hAnsi="Calibri"/>
          <w:b/>
          <w:color w:val="4A6B25"/>
          <w:sz w:val="20"/>
        </w:rPr>
        <w:t xml:space="preserve">3. </w:t>
      </w:r>
      <w:r>
        <w:rPr>
          <w:rFonts w:ascii="Calibri" w:hAnsi="Calibri"/>
          <w:b w:val="0"/>
          <w:color w:val="3A4A28"/>
          <w:sz w:val="20"/>
        </w:rPr>
        <w:t>Legacy Chesapeake environmental liabilities and governance history — EPA fines, Pennsylvania landslide penalties, and Michigan fraud charges create ongoing legal and reputational tail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production is a physical extraction and processing business that AI cannot displace — molecules must be drilled, gathered, processed, and transported through real-world infrastructure [1]. AI actually increases demand for natural gas through electricity consumption: AI data centers are projected to consume 8-12% of U.S. electricity by 2030, with natural gas the primary marginal fuel source [1]. Expand Energy's position as the largest independent U.S. gas producer makes it a direct beneficiary of AI-driven electricity demand growth. The company's Haynesville operations are proximate to Gulf Coast LNG export facilities, connecting to global demand [1]. AI Opportunity (0/1): Expand Energy does not generate revenue from AI products; it is an indirect beneficiary through electricity demand rather than a direct AI participant.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Expand Energy Q4/FY2025 Results and 2026 Outlook — 7.40 Bcfe/d production, $1.82B net income, $500M synergy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Expand Energy Leadership and Corporate Website — CEO transition, management team,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Expand Energy/Chesapeake Sustainability Report and ESG history — RSG certification, EPA fines, Michigan fraud charges,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EXE (Expand Energy Corporation),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