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EZRA</w:t>
      </w:r>
      <w:r>
        <w:rPr>
          <w:rFonts w:ascii="Calibri" w:hAnsi="Calibri"/>
          <w:b/>
          <w:color w:val="1A2010"/>
          <w:sz w:val="40"/>
        </w:rPr>
        <w:t xml:space="preserve">  Reliance Global Group, Inc.</w:t>
      </w:r>
    </w:p>
    <w:p>
      <w:pPr>
        <w:spacing w:after="120"/>
      </w:pPr>
      <w:r>
        <w:rPr>
          <w:rFonts w:ascii="Calibri" w:hAnsi="Calibri"/>
          <w:b/>
          <w:color w:val="6E8450"/>
          <w:sz w:val="18"/>
        </w:rPr>
        <w:t>GROWTH SLEEVE · 2026-03-24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Insurance Brokers · NASDAQ · United States</w:t>
      </w:r>
    </w:p>
    <w:p>
      <w:pPr>
        <w:spacing w:after="80"/>
      </w:pPr>
      <w:r>
        <w:rPr>
          <w:rFonts w:ascii="Calibri" w:hAnsi="Calibri"/>
          <w:b w:val="0"/>
          <w:color w:val="3A4A28"/>
          <w:sz w:val="20"/>
        </w:rPr>
        <w:t>Reliance Global Group (ticker changed to EZRA on January 26, 2026) is a micro-cap InsurTech and insurance agency holding company pivoting toward a technology acquisition strategy through its EZRA International Group subsidiary. The company operates an insurance brokerage platform (RELI Exchange, 5minuteinsure.com) and is pursuing controlling stakes in cybersecurity and health tech companies via its Scale51 operating model. FY2025 revenue was $12.43M.</w:t>
      </w:r>
    </w:p>
    <w:p>
      <w:r>
        <w:rPr>
          <w:rFonts w:ascii="Calibri" w:hAnsi="Calibri"/>
          <w:b/>
          <w:color w:val="6E8450"/>
          <w:sz w:val="18"/>
        </w:rPr>
        <w:t>64 Employees · https://relianceglobalgroup.com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Reliance Global Group has made genuine pivots—from traditional insurance agency acquisitions to an InsurTech platform to the EZRA International Group technology acquisition strategy—but each pivot reflects financial distress-driven strategy change rather than innovation leadership[1]. RELI Exchange grew broker network from 65 to 300 (2022-2025), and health insurance policies written grew 72% YoY during 2025 open enrollment. However, total revenue of $12.43M declining 11.55% YoY in 2025 indicates the InsurTech business is not scaling. The Scale51 model (acquiring majority stakes in small tech companies) is a financial engineering strategy, not a technology innovation. Innovation track record: 1pt (RELI Exchange platform pivot). AI deployment: 1pt (5minuteinsure.com uses AI for quotes). Market share: 0 (micro-cap, negligible market share). Pipeline: 1pt (Enquantum post-quantum cybersecurity acquisition). R&amp;D: 0pts. Total: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Ezra Beyman's stated purpose—building EZRA into a platform connecting stable insurance operations with high-growth technology—is a financial objective rather than an inspiring mission. The company name is derived from the founder's first name, a common signal of founder-centric rather than purpose-centric culture. Mission floor: 1 (generic financial platform mission). Community programs are not documented at this company size, scoring 0. Employee retention data for 64 employees is not available, scoring 0. No insider buying documented by CEO, scoring 0. Total: 1 + 0 + 0 + 0 = 1, displayed as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avg_daily_volume approximately 500,000 shares × $0.22/share = ~$110,000 per day—BELOW the $1,000,000 liquidity floor. Infrastructure score = 0 by hard rule regardless of other metrics. Additional context: FY2025 revenue $12.43M (-11.55% YoY), net loss -$6.99M, operating cash flow -$2.5M, diluted EPS -$9.01, net profit margin -64.5%, market cap ~$2.3M. Every financial metric is at or below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EZRA/Reliance Global Group displays classic finite game characteristics: revenue declining, strategy pivoting every 18 months (insurance agency → InsurTech → technology acquisitions), no clear Just Cause beyond founder wealth creation, and a $0.22 stock price suggesting market consensus that the current strategy is not viable. The company is optimizing for survival rather than playing to advance a purpose.</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company has no articulated Just Cause that rises above 'building shareholder value through technology investments.' CEO Beyman's language is financial ('stable operating foundation' + 'long-term growth')—the vocabulary of wealth management, not purpose-driven leadership. Score: 0 points (no Just Cause evident), display 1.</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With 64 employees and multiple strategic pivots in 3 years, organizational stability is minimal. The company has divested core business units (Fortman, Employee Benefits Solutions, U.S. Benefits Alliance) in rapid succession—each representing a team dissolved. Score: 0 points (organizational instability), display 2.</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of competitive awareness beyond sector positioning. The company has not articulated how it learns from competitors or uses competitive dynamics to improve. Score: 0 points, display 3.</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Multiple strategy pivots have occurred—the Scale51/EZRA International Group pivot is the latest—representing serial existential flexibility, though driven by necessity rather than purpose. Score: 1 point (flexibility demonstrated, though distress-driven), display 6.</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stock has declined from $3.44 (52-week high) to $0.22 (current), and management has not made significant personal financial commitments to the new strategy. No evidence of courageous decisions prioritizing long-term capability over short-term survival. Score: 0 points, display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The optionality case for EZRA rests entirely on the Scale51 technology acquisition strategy—if CEO Beyman's Enquantum post-quantum cybersecurity acquisition (completed March 2026) is legitimate technology that gains traction, the company's $942M market cap (at higher prices) could be justified by Enquantum's value creation rather than the insurance operations[1]. The ticker rebrand to EZRA and the Scale51 operating model represent a strategic repositioning that, if successful, transforms this from an insurance micro-cap into a technology holding company.</w:t>
      </w:r>
    </w:p>
    <w:p>
      <w:pPr>
        <w:spacing w:after="120"/>
      </w:pPr>
      <w:r>
        <w:rPr>
          <w:rFonts w:ascii="Calibri" w:hAnsi="Calibri"/>
          <w:b w:val="0"/>
          <w:color w:val="3A4A28"/>
          <w:sz w:val="20"/>
        </w:rPr>
        <w:t>The bear case dominates: the company has 64 employees, $12.43M in revenue declining 11.55% YoY, -$6.99M net loss, and a stock at $0.22 with a $2.3M market cap. The LIQUIDITY FLOOR is breached—avg daily volume × price is below $1M, making this stock effectively untradeable for IOWN at meaningful position sizes. Enquantum and other Scale51 targets are early-stage private companies with no public operating history. The serial strategy pivots (three in three years) signal that management lacks conviction in any single direction. This stock represents speculative capital at maximum risk levels.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Enquantum post-quantum cybersecurity technology achieving a commercial contract with a financial services firm, providing the first evidence of Scale51 strategy viability</w:t>
      </w:r>
    </w:p>
    <w:p>
      <w:pPr>
        <w:spacing w:before="40" w:after="40"/>
        <w:ind w:left="283"/>
      </w:pPr>
      <w:r>
        <w:rPr>
          <w:rFonts w:ascii="Calibri" w:hAnsi="Calibri"/>
          <w:b/>
          <w:color w:val="4A6B25"/>
          <w:sz w:val="20"/>
        </w:rPr>
        <w:t xml:space="preserve">2. </w:t>
      </w:r>
      <w:r>
        <w:rPr>
          <w:rFonts w:ascii="Calibri" w:hAnsi="Calibri"/>
          <w:b w:val="0"/>
          <w:color w:val="3A4A28"/>
          <w:sz w:val="20"/>
        </w:rPr>
        <w:t>RELI Exchange broker network growth beyond 300 generating meaningful commission revenue growth, reversing the FY2025 revenue decline</w:t>
      </w:r>
    </w:p>
    <w:p>
      <w:pPr>
        <w:spacing w:before="40" w:after="40"/>
        <w:ind w:left="283"/>
      </w:pPr>
      <w:r>
        <w:rPr>
          <w:rFonts w:ascii="Calibri" w:hAnsi="Calibri"/>
          <w:b/>
          <w:color w:val="4A6B25"/>
          <w:sz w:val="20"/>
        </w:rPr>
        <w:t xml:space="preserve">3. </w:t>
      </w:r>
      <w:r>
        <w:rPr>
          <w:rFonts w:ascii="Calibri" w:hAnsi="Calibri"/>
          <w:b w:val="0"/>
          <w:color w:val="3A4A28"/>
          <w:sz w:val="20"/>
        </w:rPr>
        <w:t>Strategic investment from a larger technology holding company validating the Scale51 model with external capital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Stock breaches the IOWN liquidity floor (avg daily volume × price &lt; $1M), making meaningful position sizing impossible without moving the market</w:t>
      </w:r>
    </w:p>
    <w:p>
      <w:pPr>
        <w:spacing w:before="40" w:after="40"/>
        <w:ind w:left="283"/>
      </w:pPr>
      <w:r>
        <w:rPr>
          <w:rFonts w:ascii="Calibri" w:hAnsi="Calibri"/>
          <w:b/>
          <w:color w:val="4A6B25"/>
          <w:sz w:val="20"/>
        </w:rPr>
        <w:t xml:space="preserve">2. </w:t>
      </w:r>
      <w:r>
        <w:rPr>
          <w:rFonts w:ascii="Calibri" w:hAnsi="Calibri"/>
          <w:b w:val="0"/>
          <w:color w:val="3A4A28"/>
          <w:sz w:val="20"/>
        </w:rPr>
        <w:t>Going concern risk if Scale51 acquisitions require additional capital that dilutes existing shareholders, given the current $2.3M market cap and negative operating cash flow</w:t>
      </w:r>
    </w:p>
    <w:p>
      <w:pPr>
        <w:spacing w:before="40" w:after="40"/>
        <w:ind w:left="283"/>
      </w:pPr>
      <w:r>
        <w:rPr>
          <w:rFonts w:ascii="Calibri" w:hAnsi="Calibri"/>
          <w:b/>
          <w:color w:val="4A6B25"/>
          <w:sz w:val="20"/>
        </w:rPr>
        <w:t xml:space="preserve">3. </w:t>
      </w:r>
      <w:r>
        <w:rPr>
          <w:rFonts w:ascii="Calibri" w:hAnsi="Calibri"/>
          <w:b w:val="0"/>
          <w:color w:val="3A4A28"/>
          <w:sz w:val="20"/>
        </w:rPr>
        <w:t>Insurance brokerage revenue declining further as AI-powered direct insurers (Lemonade, Root) capture market share from independent agents that RELI Exchange serves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DC2626"/>
          <w:sz w:val="16"/>
        </w:rPr>
        <w:t xml:space="preserve"> HIGH RISK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Insurance brokerage faces meaningful AI disruption—AI-powered direct-to-consumer insurance platforms (Lemonade, Root, Hippo) are progressively automating the agent/broker role, especially in personal lines insurance where RELI Exchange and 5minuteinsure.com compete[1]. The Scale51 technology acquisition strategy (Enquantum cybersecurity, breath diagnostic tech) is too early-stage to provide material AI revenue or protection. The company's 64 employees and $12M in revenue provide no competitive moat against AI-driven insurance disruptors. Risk protection: 3 (EXPOSED—insurance brokerage partially substitutable by AI; small scale limits defensive investment). AI opportunity: 1 (InsurTech platform uses AI for quoting, and Enquantum acquisition adds post-quantum security exposure). Total: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Reliance Global Group 2025 Annual Results and Scale51 Update Press Release, March 10, 2026</w:t>
      </w:r>
    </w:p>
    <w:p>
      <w:pPr>
        <w:spacing w:before="20" w:after="20"/>
        <w:ind w:left="170"/>
      </w:pPr>
      <w:r>
        <w:rPr>
          <w:rFonts w:ascii="Calibri" w:hAnsi="Calibri"/>
          <w:b/>
          <w:color w:val="4A6B25"/>
          <w:sz w:val="15"/>
        </w:rPr>
        <w:t xml:space="preserve">2. </w:t>
      </w:r>
      <w:r>
        <w:rPr>
          <w:rFonts w:ascii="Calibri" w:hAnsi="Calibri"/>
          <w:b w:val="0"/>
          <w:color w:val="3A4A28"/>
          <w:sz w:val="17"/>
        </w:rPr>
        <w:t>Reliance Global Group EZRA International Group Launch Press Release, February 4, 2026</w:t>
      </w:r>
    </w:p>
    <w:p>
      <w:pPr>
        <w:spacing w:before="20" w:after="20"/>
        <w:ind w:left="170"/>
      </w:pPr>
      <w:r>
        <w:rPr>
          <w:rFonts w:ascii="Calibri" w:hAnsi="Calibri"/>
          <w:b/>
          <w:color w:val="4A6B25"/>
          <w:sz w:val="15"/>
        </w:rPr>
        <w:t xml:space="preserve">3. </w:t>
      </w:r>
      <w:r>
        <w:rPr>
          <w:rFonts w:ascii="Calibri" w:hAnsi="Calibri"/>
          <w:b w:val="0"/>
          <w:color w:val="3A4A28"/>
          <w:sz w:val="17"/>
        </w:rPr>
        <w:t>Reliance Global Group 72% Health Insurance Growth Release, January 30, 2026</w:t>
      </w:r>
    </w:p>
    <w:p>
      <w:pPr>
        <w:spacing w:before="20" w:after="20"/>
        <w:ind w:left="170"/>
      </w:pPr>
      <w:r>
        <w:rPr>
          <w:rFonts w:ascii="Calibri" w:hAnsi="Calibri"/>
          <w:b/>
          <w:color w:val="4A6B25"/>
          <w:sz w:val="15"/>
        </w:rPr>
        <w:t xml:space="preserve">4. </w:t>
      </w:r>
      <w:r>
        <w:rPr>
          <w:rFonts w:ascii="Calibri" w:hAnsi="Calibri"/>
          <w:b w:val="0"/>
          <w:color w:val="3A4A28"/>
          <w:sz w:val="17"/>
        </w:rPr>
        <w:t>Reliance Global Group Enquantum Milestone Funding, March 19,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EZRA key statistics, accessed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