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FAF</w:t>
      </w:r>
      <w:r>
        <w:rPr>
          <w:rFonts w:ascii="Calibri" w:hAnsi="Calibri"/>
          <w:b/>
          <w:color w:val="1A2010"/>
          <w:sz w:val="40"/>
        </w:rPr>
        <w:t xml:space="preserve">  First American Financial Corporation</w:t>
      </w:r>
    </w:p>
    <w:p>
      <w:pPr>
        <w:spacing w:after="120"/>
      </w:pPr>
      <w:r>
        <w:rPr>
          <w:rFonts w:ascii="Calibri" w:hAnsi="Calibri"/>
          <w:b/>
          <w:color w:val="6E8450"/>
          <w:sz w:val="18"/>
        </w:rPr>
        <w:t>DIVIDEND SLEEVE · 2026-05-03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First American Financial Corporation provides title insurance, closing/escrow services, and home warranty products through its Title Insurance and Services segment and Home Warranty segment. Founded in 1889, the company operates a network of direct operations and agents across the U.S., Canada, U.K., Australia, and other international markets. It also offers trust, wealth management, tax-deferred exchange, and warehouse lending services.</w:t>
      </w:r>
    </w:p>
    <w:p>
      <w:r>
        <w:rPr>
          <w:rFonts w:ascii="Calibri" w:hAnsi="Calibri"/>
          <w:b/>
          <w:color w:val="6E8450"/>
          <w:sz w:val="18"/>
        </w:rPr>
        <w:t>19,102 Employees · https://www.firstam.com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American grew FY2025 revenue 22% to $7.5B (up from $6.1B in FY2024) as the housing market recovered, with Q1 2026 continuing at 16% growth driven by commercial title revenue surging 48% to $271.2M [1]. However, this is cyclical recovery rather than product innovation — the core title insurance business model is unchanged. AI Deployment (1/2): First American has invested in digital closing technology and data-driven title search tools, using its massive title plant database as a competitive asset. The company's Endpoint digital closing platform represents meaningful technology adoption for the industry, though specific AI-revenue metrics are not disclosed [3]. Market Share (2/2): First American is one of the 'Big Four' title insurers in the U.S. (alongside Fidelity National, Old Republic, and Stewart), maintaining dominant market position with 26%+ market share in the title insurance industry [1]. Pipeline (1/2): Digital closing expansion and international growth (U.K., Australia, South Korea) provide visible growth avenues, though these are incremental rather than transformative. R&amp;D Intensity (0/1): Technology spending is meaningful for the title industry but modest relative to revenue; First American is an operations-focused financial services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American's mission centers on protecting the real estate investment of homeowners and enabling confident property transactions — clear and industry-specific but not distinctively articulated beyond the obvious purpose of title insurance [3]. Community Impact (2/2): Named one of Fortune's 100 Best Companies to Work For for the ninth consecutive year, First American demonstrates meaningful community investment through its First American Financial Foundation and employee volunteer programs [5]. The company employs 19,102 people and has published eight annual Sustainability Reports [5]. Employee Retention (1/2): The nine consecutive years on Fortune's Best Companies list suggests above-average employee satisfaction. Glassdoor rating of 3.5/5 is adequate but not exceptional, with employees citing culture and benefits as positives but flagging compensation and senior leadership as concerns [3]. Insider Buying (1/2): The company's chair recently ended unvested RSU and PRSU awards, signaling leadership transitions [5]. No evidence of significant net insider buying was found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American's financial profile is strong, driven by the cyclical housing recovery. D/E of 51.4% is conservative for a financial services company (1.0/1.0) [4]. ROE of 12.8% is near the 15% target (0.85/1.0), with FY2025 net income of $621.8M and adjusted EPS of $6.05 (up 37% YoY) [1]. Forward P/E of 9.4x is deeply undervalued relative to the 20x target (1.0/1.0). Revenue growth YoY of 21.6% in FY2025 is strong (1.0/1.0), though the 3-year revenue CAGR is -0.7% reflecting the 2022-2023 housing downturn (0.29/1.0) [1]. Profit margin of 8.7% is modest for the title insurance model (0.44/1.0). Dividend profile: 3.2% yield with 33.7% payout ratio (1.0/1.0), 16+ consecutive years paid (1.0/1.0, 2x weight), 16+ consecutive years of growth (1.0/1.0), and 4.1% 5-year dividend growth CAGR (0.68/1.0, 2x weight) [4]. Liquidity cleared: 1.06M avg vol x $68.52 = $72.4M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American, founded in 1889, embodies the infinite game through 137 years of continuous operation, surviving multiple real estate cycles, wars, and financial crises. The company's commitment to title insurance fundamentals and steady dividend growth (16+ consecutive years) reflects playing to endure. However, the business model has not fundamentally evolved in decades, and the company's competitive language focuses more on market share defense than self-improvement.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American's purpose — protecting the property rights that underpin the American dream of homeownership — connects real estate transactions to something larger than profit. Founded in 1889, the company has maintained this focus through 137 years of real estate cycles, demonstrating genuine consistency [1]. The mission is clearly lived out through the title insurance business, but it has not been articulated as a transformative vision that inspires beyond the obvious industry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Nine consecutive years on Fortune's 100 Best Companies list is strong evidence of a positive workplace culture, and the 19,102-employee workforce has reasonable stability [5]. However, Glassdoor reviews (3.5/5) cite senior leadership and compensation concerns, and the rating declined 3% over the past 12 months, suggesting some erosion in employee trust [3]. The CEO transition to Mark Seaton in April 2025 introduces leadership change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First American operates in the 'Big Four' title insurance oligopoly alongside Fidelity National Financial, Old Republic, and Stewart Information Services. The company's competitive approach focuses on service quality, technology investment, and operational efficiency rather than destructive price competition [1]. Management commentary references improving digital capabilities rather than 'beating'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First American has operated the same core title insurance business model for 137 years. While the company has added adjacent services (home warranty, digital closings, international expansion), it has never fundamentally reinvented itself [1]. The business remains structurally tied to U.S. real estate transaction volumes, which creates cyclical vulnerability. The lack of transformative pivots is partly justified — the business model works — but Sinek would note the company has not been tested with a true existential choice.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First American maintained dividend growth through the 2022-2023 housing downturn despite revenue declining from $7.6B to $6.0B, showing willingness to prioritize long-term shareholder returns over short-term cash preservation [4]. The investment in Endpoint digital closing technology during a difficult market demonstrates some forward-looking capital allocation. However, no evidence of truly costly counter-cyclical bets or principled business exits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American Financial is a 137-year-old title insurance leader trading at 9.4x forward earnings with a 3.2% dividend yield and 16 consecutive years of dividend growth. Q1 2026 revenue grew 16% YoY to $1.8B with adjusted EPS of $1.33 (up 58%), driven by commercial title revenue surging 48% to $271.2M [1]. FY2025 delivered $7.5B revenue (up 22%) with adjusted EPS of $6.05 (up 37%), demonstrating the power of the housing cycle recovery [1]. The 'Big Four' oligopoly structure, proprietary title plant databases, and state-by-state regulatory requirements create durable competitive moats. At 9.4x forward P/E, the stock is attractively valued relative to its earnings growth trajectory and dividend stability [4].</w:t>
      </w:r>
    </w:p>
    <w:p>
      <w:pPr>
        <w:spacing w:after="120"/>
      </w:pPr>
      <w:r>
        <w:rPr>
          <w:rFonts w:ascii="Calibri" w:hAnsi="Calibri"/>
          <w:b w:val="0"/>
          <w:color w:val="3A4A28"/>
          <w:sz w:val="20"/>
        </w:rPr>
        <w:t>The bear case centers on cyclical vulnerability and structural headwinds. First American's revenue is directly tied to U.S. real estate transaction volumes — the 3-year revenue CAGR of -0.7% reflects the severe 2022-2023 housing downturn when revenue dropped from $7.6B to $6.0B [1]. Higher interest rates continue to suppress residential purchase activity, and any renewed rate increases could reverse the current recovery. Profit margins of 8.7% are thin for the insurance industry, limiting downside earnings protection. AI-powered title search and digital closing tools from fintech competitors could compress margins over time, though regulatory moats provide protection. The CEO transition to Mark Seaton (April 2025) introduces execution uncertainty during a critical recovery phase. Revenue concentration in the U.S. real estate market creates geographic and cyclical concentration risk that diversification efforts (home warranty, international) have not materially offset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commercial title recovery with Q1 2026 commercial revenue up 48% to $271.2M and average revenue per order of $17,851, signaling institutional real estate activity acceleration [1]</w:t>
      </w:r>
    </w:p>
    <w:p>
      <w:pPr>
        <w:spacing w:before="40" w:after="40"/>
        <w:ind w:left="283"/>
      </w:pPr>
      <w:r>
        <w:rPr>
          <w:rFonts w:ascii="Calibri" w:hAnsi="Calibri"/>
          <w:b/>
          <w:color w:val="4A6B25"/>
          <w:sz w:val="20"/>
        </w:rPr>
        <w:t xml:space="preserve">2. </w:t>
      </w:r>
      <w:r>
        <w:rPr>
          <w:rFonts w:ascii="Calibri" w:hAnsi="Calibri"/>
          <w:b w:val="0"/>
          <w:color w:val="3A4A28"/>
          <w:sz w:val="20"/>
        </w:rPr>
        <w:t>Potential Fed rate cuts in 2026 that could stimulate residential purchase activity and drive title insurance premium volume beyond current levels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16 consecutive years of increases with a conservative 33.7% payout ratio providing room for continued growth at the 4-5% annual 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residential purchase activity remains suppressed by elevated mortgage rates; any reversal in rate expectations could stall the housing recovery [1]</w:t>
      </w:r>
    </w:p>
    <w:p>
      <w:pPr>
        <w:spacing w:before="40" w:after="40"/>
        <w:ind w:left="283"/>
      </w:pPr>
      <w:r>
        <w:rPr>
          <w:rFonts w:ascii="Calibri" w:hAnsi="Calibri"/>
          <w:b/>
          <w:color w:val="4A6B25"/>
          <w:sz w:val="20"/>
        </w:rPr>
        <w:t xml:space="preserve">2. </w:t>
      </w:r>
      <w:r>
        <w:rPr>
          <w:rFonts w:ascii="Calibri" w:hAnsi="Calibri"/>
          <w:b w:val="0"/>
          <w:color w:val="3A4A28"/>
          <w:sz w:val="20"/>
        </w:rPr>
        <w:t>Cyclical revenue concentration — the 3-year revenue CAGR of -0.7% demonstrates vulnerability to housing market downturns that can compress revenue by 20%+ within a single year [1][4]</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risk — AI-powered title search and digital closing platforms could compress margins in the title insurance industry, though regulatory barriers provide near-term protection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First American's core title insurance business involves complex legal document review, property records analysis, and real estate closing processes that are partially automatable by AI — AI tools could accelerate title searches and reduce manual underwriting labor [3]. However, the business is heavily regulated (state-by-state insurance regulations), requires physical-world operations (escrow, closing, recording), and depends on proprietary title plant databases that represent decades of accumulated records that AI cannot easily replicate [1]. The 'Big Four' oligopoly structure and regulatory moats provide substantial protection against AI-native disruptors. Fintech competitors could use AI to compress costs, but title insurance underwriting requires licensed professionals and state regulatory approval. AI Opportunity (1/1): First American's Endpoint digital closing platform and data analytics tools leverage technology to improve efficiency. The company's massive title plant database is a proprietary data asset that could power AI-driven title search and risk assessment tools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American Financial Q1 2026 Earnings — $1.8B revenue (up 16%), $1.33 adjusted EPS (up 58%), commercial title up 48%, April 2026</w:t>
      </w:r>
    </w:p>
    <w:p>
      <w:pPr>
        <w:spacing w:before="20" w:after="20"/>
        <w:ind w:left="170"/>
      </w:pPr>
      <w:r>
        <w:rPr>
          <w:rFonts w:ascii="Calibri" w:hAnsi="Calibri"/>
          <w:b/>
          <w:color w:val="4A6B25"/>
          <w:sz w:val="15"/>
        </w:rPr>
        <w:t xml:space="preserve">2. </w:t>
      </w:r>
      <w:r>
        <w:rPr>
          <w:rFonts w:ascii="Calibri" w:hAnsi="Calibri"/>
          <w:b w:val="0"/>
          <w:color w:val="3A4A28"/>
          <w:sz w:val="17"/>
        </w:rPr>
        <w:t>First American Financial FY2025 Earnings — $7.5B revenue (up 22%), $6.05 adjusted EPS (up 37%),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Comparably — First American Financial employee reviews (3.5/5, 1,957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FAF (First American Financial), retrieved May 3,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Rating / Fortune 100 Best Companies to Work For — First American Financial,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