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FANG</w:t>
      </w:r>
      <w:r>
        <w:rPr>
          <w:rFonts w:ascii="Calibri" w:hAnsi="Calibri"/>
          <w:b/>
          <w:color w:val="1A2010"/>
          <w:sz w:val="40"/>
        </w:rPr>
        <w:t xml:space="preserve">  Diamondback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Diamondback Energy is the largest independent oil and gas producer in the Permian Basin following the 2024 $26B Endeavor Energy Resources merger. The company operates with an industry-low cost structure, produces 947K+ BOE/d, and returns capital via a rising base dividend and opportunistic variable dividends/buybacks.</w:t>
      </w:r>
    </w:p>
    <w:p>
      <w:r>
        <w:rPr>
          <w:rFonts w:ascii="Calibri" w:hAnsi="Calibri"/>
          <w:b/>
          <w:color w:val="6E8450"/>
          <w:sz w:val="18"/>
        </w:rPr>
        <w:t>1,100 Employees · https://www.diamondbackenergy.com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$26B Endeavor Energy Resources acquisition closed in late 2024 and drove record FY2025 revenue of $15.0B, adjusted FCF of $5.9B, and Q4 oil production of 512.8 MBO/d (+7.3% YoY) [1]. AI Deployment (2/2): Diamondback is pursuing a JV to build gas-fueled power plants in the Permian to serve AI data centers and is working with Oklo on fast-fission nuclear reactors — quantified AI monetization of Permian gas [3]. Market Share (2/2): Largest independent Permian producer with 3,618 MMBOE proved reserves and the lowest-cost breakeven in the industry, with real-time methane monitoring on 87% of oil production post-merger [1][4]. Pipeline (0/2): No differentiated product pipeline — this is a commodity E&amp;P with inventory depth as the main asset, and 2026 guidance of 500-510 MBO/d is flat-to-down versus Q4 2025 exit rate of 512.8 MBO/d [1]. R&amp;D Intensity (0/1): E&amp;P sector does not meaningfully compete on R&amp;D; Diamondback is not differentiated here.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The company's stated focus on being the 'pure-play Permian operator of choice' with an industry-leading cost structure and disciplined capital allocation has been specifically articulated and executed on over Stice's 12-year CEO tenure [2]. Community Impact (1/2): 2025 Corporate Sustainability Report outlines Permian Basin community investment and a 50% Scope 1+2 GHG intensity reduction target by 2030, but dollar-denominated community programs are not distinctive versus peers [4]. Employee Retention (1/2): Glassdoor 3.7/5 with 82% recommend-to-friend, 4.5/5 compensation &amp; benefits; however some reviews cite culture degradation post-Endeavor merger ('culture tanked after the EER merger') [2]. Insider Buying (0/2): Stice transitioned from CEO to Executive Chairman in May 2025 — a typical leadership handoff not accompanied by reported net insider buying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Diamondback's financial profile is best-in-class for E&amp;P: FY2025 revenue of $15.0B (+~85% including Endeavor), adjusted FCF of $5.9B, Q4 operating cash flow of $2.3B, and base dividend raised 5% to $4.20 annually [1][4]. D/E of 39% and Forward P/E of 17.74 (below the 20 IOWN target) reflect disciplined capital structure despite $14.5B in post-merger debt [4]. ROE of 4.4% is the main weak point — low relative to the 15% target and reflects the Endeavor equity dilution absorbing earnings per share. Stock at $188.13 × avg volume well above liquidity floor. Dividend record: 8 consecutive years paid, steady growth, yield of 2.37% satisfies the Dividend sleeve criteria [4][1].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Diamondback has demonstrated disciplined capital allocation and cultural consistency under Travis Stice's 12-year CEO tenure (now Executive Chairman). The May 2025 leadership transition and $26B Endeavor merger test whether the 'gritty, fast, adaptive culture' can scale, but the fundamentally commodity nature of E&amp;P and the cyclical business make a pure infinite-game case hard to build.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Diamondback's stated purpose — become the 'pure-play Permian operator of choice' with the industry-lowest cost structure — is specific and has been consistently executed since 2012 [2]. But it is fundamentally a commodity business model, not a Sinek-caliber idealistic vision of a better future that invites others to contribute.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3.7/5 with 82% recommend, and Stice publicly preaches 'unreasonable level of trust' as the foundation for scaling [2]. However, reviews citing culture degradation post-Endeavor merger indicate the Circle of Safety is under stress as the company integrates a doubled employee base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frames the Permian competitive landscape in terms of cost leadership and scale rather than citing specific rivals whose strengths sharpen Diamondback's own strategy; commentary around the Endeavor deal was about winning rollup share, not learning from peers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2024 Endeavor merger transformed Diamondback from a mid-cap pure-play into the largest independent Permian producer — a meaningful reinvention [1]. The 2025-2026 pivot toward AI-power JVs and Oklo nuclear partnerships is an additional flex, showing the team can monetize gas and power in adjacent verticals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$26B Endeavor merger was a courageous scale bet at a top-of-cycle moment, and Stice's decision to step down to Executive Chairman in May 2025 to install new operating leadership shows succession planning courage [1][2]. But a 5% dividend raise is a conventional E&amp;P capital return, not the kind of costly long-term investment that tests infinite-game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Diamondback Energy is the pure-play Permian leader post-Endeavor, with FY2025 revenue of $15.0B, adjusted FCF of $5.9B, Q4 production of 947K BOE/d (+7.3% YoY), and a 5% base dividend hike to $4.20 annually [1]. The $26B Endeavor merger gave Diamondback 3,618 MMBOE of proved reserves, industry-low breakevens, and real-time methane monitoring on 87% of oil production [1][4]. AI Resilience is the differentiating bull case: Diamondback is pursuing JV gas-fueled power plants and Oklo fast-fission reactors explicitly to serve West Texas AI data centers — converting Permian gas into AI-power monetization that analysts universally flag as a tailwind [3]. Forward P/E of 17.74 is below the ≤20 IOWN target, D/E of 39% is manageable, and the 2.37% dividend yield with 8 consecutive years of payments supports the Dividend sleeve thesis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commodity cyclicality and post-merger execution. 2026 oil production guidance of 500-510 MBO/d is flat-to-slightly-down from the Q4 2025 exit of 512.8 MBO/d, signaling Permian inventory quality and capital discipline rather than growth [1]. ROE of 4.43% is well below the 15% target and reflects how the $14.5B debt load and Endeavor equity dilution have compressed per-share economics [4]. Glassdoor reviews explicitly cite post-merger culture degradation, raising integration risk on the 2,000+ employee combined workforce [2]. Carbon Tracker has flagged that 90-100% of Diamondback's 2021-2030 capex falls outside the IEA 'Beyond 2 Degrees' scenario, creating long-term ESG and stranded-asset risk, and the Scope 1+2 targets don't address Scope 3 [4]. Oil price sensitivity remains the dominant earnings variable.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AI-power JV and Oklo nuclear partnership converting Permian natgas into quantified revenue from West Texas data center power demand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Endeavor merger synergy realization driving per-share FCF growth and potential variable dividend/buyback returns on top of the 5% base dividend raise to $4.20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methane intensity reduction (24% improvement 2020-2021, 87% production on real-time monitoring) supporting ESG and regulatory positioning versus less-differentiated E&amp;P peers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WTI and natural gas price cyclicality — with 500-510 MBO/d 2026 production flat YoY, earnings are a near-pure function of commodity prices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Post-merger culture and integration risk — Glassdoor reviews cite culture degradation post-Endeavor, and the May 2025 CEO transition adds execution complexity on a 2,000+ combined workforce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Long-term stranded-asset risk — Carbon Tracker flags 90-100% of 2021-2030 capex outside the IEA 2-degree scenario, and the net-zero commitment covers only Scope 1, not Scope 2/3 emissions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Oil and gas E&amp;P is physical-world infrastructure that AI structurally cannot displace — wells, pipelines, and Permian acreage are tangible assets [1][3]. AI actually increases demand for Diamondback's natural gas via data center power consumption; the company is pursuing a JV to build gas-fueled Permian power plants that directly serve AI data centers and is partnered with Oklo on fast-fission nuclear reactors [3]. Analysts universally treat FANG as an AI-power beneficiary, not a disruption target. AI Opportunity (1/1): The AI-power JV strategy creates quantifiable incremental revenue from Permian natgas monetization for data centers, with Hart Energy and Utility Dive explicitly naming Diamondback as a lead vehicle for the AI-power thesis in Texas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Diamondback Energy Q4 2025 and FY2025 earnings release, Q4 2025 Investor Presentation,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Travis Stice CEO interviews (Hart Energy, Energy Workforce &amp; Technology Council), Glassdoor reviews, Diamondback leadership transition announcements,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Hart Energy, Utility Dive, World Oil — Diamondback AI-power JV and Oklo nuclear partnership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Diamondback 2025 Corporate Sustainability Report, Carbon Tracker analysis, StockAnalysis.com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