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FAST</w:t>
      </w:r>
      <w:r>
        <w:rPr>
          <w:rFonts w:ascii="Calibri" w:hAnsi="Calibri"/>
          <w:b/>
          <w:color w:val="1A2010"/>
          <w:sz w:val="40"/>
        </w:rPr>
        <w:t xml:space="preserve">  Fastenal Company</w:t>
      </w:r>
    </w:p>
    <w:p>
      <w:pPr>
        <w:spacing w:after="120"/>
      </w:pPr>
      <w:r>
        <w:rPr>
          <w:rFonts w:ascii="Calibri" w:hAnsi="Calibri"/>
          <w:b/>
          <w:color w:val="6E8450"/>
          <w:sz w:val="18"/>
        </w:rPr>
        <w:t>DIVIDEND SLEEVE · 2026-04-01 · Inspire: 41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Industrial Distribution · NASDAQ · United States</w:t>
      </w:r>
    </w:p>
    <w:p>
      <w:pPr>
        <w:spacing w:after="80"/>
      </w:pPr>
      <w:r>
        <w:rPr>
          <w:rFonts w:ascii="Calibri" w:hAnsi="Calibri"/>
          <w:b w:val="0"/>
          <w:color w:val="3A4A28"/>
          <w:sz w:val="20"/>
        </w:rPr>
        <w:t>Fastenal is a leading industrial distributor of fasteners, safety products, and other industrial and construction supplies. The company operates through a network of approximately 1,600 branches and 1,900+ onsite locations, with 134,000 smart vending and bin-stocking devices (FMI) embedded in customer operations. Digital channels represent 61% of total sales.</w:t>
      </w:r>
    </w:p>
    <w:p>
      <w:r>
        <w:rPr>
          <w:rFonts w:ascii="Calibri" w:hAnsi="Calibri"/>
          <w:b/>
          <w:color w:val="6E8450"/>
          <w:sz w:val="18"/>
        </w:rPr>
        <w:t>21,602 Employees · https://www.fastenal.com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Fastenal has executed a genuine business model transformation over the past five years, growing its Fastenal Managed Inventory (FMI) network to 134,000 smart vending and bin-stocking devices (up 8.7% YoY) and increasing digital channel share from 43% to 61.3% of total sales [1][2]. Daily sales through FMI technology grew 18% YoY. This is a meaningful pivot from traditional branch distribution to technology-embedded customer partnerships. AI Deployment (1/2): Fastenal's extensive data infrastructure from 134,000 connected devices supports automated reordering, inventory prediction, and dynamic pricing capabilities, though the company has not publicly detailed specific AI products or quantified AI-driven savings [2]. Market Share (1/2): Fastenal is a top-two industrial distributor alongside Grainger, often cited as a leader in digital distribution, but does not hold dominant share in the fragmented $200B+ industrial distribution market. Pipeline (1/2): Continued FMI expansion, onsite location growth (1,900+), and e-procurement integrations provide visible pipeline, though without transformative new product categories. R&amp;D Intensity (0/1): As a distribution company, Fastenal does not invest in traditional R&amp;D; its innovation comes through supply chain technology and process improvement.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Fastenal's positioning — 'Where Industry Meets Innovation' — is specific and connects its distribution business to customer productivity and operational efficiency. The company's commitment to being 'high-touch, high-tech' differentiates it from generic distributors. However, it describes a business approach rather than a vision of a better future. Community Impact (0/2): No distinctive charitable programs or community investment initiatives were identified in research. The company maintains a frugal culture focused on operational efficiency rather than philanthropy. Employee Retention (1/2): Fastenal's promote-from-within culture is evidenced by incoming CEO Watts's rise through the sales organization and outgoing CEO Florness's 30-year tenure [2]. The founder-inspired frugal culture creates loyalty among employees who share those values. Insider Buying (0/2): No meaningful net insider buying by CEO or executives identified in recent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Fastenal's balance sheet is exceptionally clean. D/E of 11.2% is among the lowest in industrials, well below the 70% target, and ROE of 33.3% significantly exceeds the 15% threshold [3]. Revenue growth is strong: 11.1% YoY (above the 10% target) and 7.7% 5-year CAGR. Profit margin of 15.3% falls short of the 20% target but is strong for distribution. Forward P/E of 34.4x is the primary weakness — well above the 20x target — reflecting the market's premium for Fastenal's digital distribution model and consistent execution [3]. Dividend profile is mixed: payout ratio of 80.3% is elevated (near the 100% floor), and 25+ years of consecutive payments is strong. The 5-year dividend growth CAGR of 11.8% is excellent, though annual totals are lumpy due to supplemental dividends [3]. Liquidity floor cleared: $46.70 x 8.81M avg volume = $411M daily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Fastenal is a textbook infinite game company. Founded in 1967, it has patiently invested in vending technology and digital distribution for over a decade, transforming its business model from traditional branch-based sales to 61% digital channels while maintaining the frugal, founder-inspired culture that defines its competitive advantage. The smooth CEO transition from 30-year veteran Florness to sales leader Watts preserves cultural continuity.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Fastenal's cause — making industrial supply chains more efficient and accessible through technology — has been validated by decades of patient investment in vending, digital, and onsite solutions [2]. The transformation from a small-town fastener store to a 134,000-device technology platform serving global manufacturers reflects purpose-driven strategic decisions. However, 'industrial distribution efficiency' is more of a business mission than a Just Cause in Sinek's transcendent sense — it describes what Fastenal does excellently rather than a future state it's advancing toward.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Fastenal's founder-inspired frugal culture creates a distinctive organizational identity. Outgoing CEO Florness served 30 years, incoming CEO Watts rose through the sales organization, and the board explicitly cited preserving 'the cultural values Robert Kierlin and the Founders established decades ago' as a succession priority [2]. The company's flat, decentralized structure empowers branch and onsite teams. However, frugal cultures can create tension with employee compensation expectations, and no specific trust or retention metrics are available. Score: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Fastenal openly acknowledges Grainger's strengths and uses the competitive dynamic to improve its own digital capabilities and customer solutions. Both companies are frequently cited together as leaders in industrial distribution transformation, and Fastenal's approach focuses on improving its own model rather than attacking Grainger [2]. Score: 1/1 point.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Fastenal has genuinely reinvented itself — transforming from a traditional fastener store chain into a technology-enabled industrial distribution platform with 134,000 smart vending devices and 61% digital sales [2]. The company invested in vending technology years before it was commercially validated, building FASTVend and FASTBin systems that now embed Fastenal's systems directly into customer operations. This is a transformative pivot driven by the cause of making industrial supply chains more efficient, not by desperation. Score: 2/2 points.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Fastenal invested heavily in vending technology and onsite locations during periods when the industrial economy was flat, sacrificing short-term margins to build long-term capability [2]. The company grew its FMI device network from zero to 134,000 over a decade while traditional distribution competitors cut costs. CEO Florness maintained R&amp;D-level investment in digital infrastructure during downturns, and the decision to close underperforming branches while doubling down on onsite and vending reflects pattern-of-courage leadership. Score: 2/2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Fastenal is a best-in-class industrial distributor executing a multi-year digital transformation that has grown digital channel sales to 61.3% of total revenue, up from 43% a year earlier [1][2]. Full-year 2025 revenue of $8.2B grew 11.1% YoY, and the 134,000-device FMI network (up 8.7% YoY) with 18% daily sales growth creates deeply embedded customer relationships with structural switching costs [2]. ROE of 33.3% and D/E of 11.2% reflect exceptional capital efficiency and balance sheet discipline [3]. The CEO transition from Florness to Watts preserves cultural continuity while the business model transformation delivers accelerating growth. Analysts project 8.9% annual earnings growth and 7.4% revenue growth, supported by FMI expansion and onsite location additions.</w:t>
      </w:r>
    </w:p>
    <w:p>
      <w:pPr>
        <w:spacing w:after="120"/>
      </w:pPr>
      <w:r>
        <w:rPr>
          <w:rFonts w:ascii="Calibri" w:hAnsi="Calibri"/>
          <w:b w:val="0"/>
          <w:color w:val="3A4A28"/>
          <w:sz w:val="20"/>
        </w:rPr>
        <w:t>The bear case centers on premium valuation and cyclical industrial exposure. At 42.8x trailing P/E and 34.4x forward P/E, Fastenal trades at a significant premium to both the industrial sector and distribution peers — pricing in sustained double-digit growth that requires a robust industrial cycle [3]. Q4 2025 growth relied heavily on 310-340 basis points of price increases amid sluggish industrial demand, raising concerns about volume sustainability [1]. The 80.3% payout ratio is elevated for a company that may need to fund continued technology investment, and annual dividend totals are lumpy due to supplemental dividends. Fastenal is exposed to tariff risk on imported fasteners and industrial products, and a manufacturing recession would directly impact demand for industrial supplies. The company's growth-by-onsite model requires significant labor investment, and a tight labor market could constrain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FMI network expansion toward 150,000+ devices driving continued digital channel growth beyond 61% of sales, with each device deepening customer switching costs and recurring revenue [2]</w:t>
      </w:r>
    </w:p>
    <w:p>
      <w:pPr>
        <w:spacing w:before="40" w:after="40"/>
        <w:ind w:left="283"/>
      </w:pPr>
      <w:r>
        <w:rPr>
          <w:rFonts w:ascii="Calibri" w:hAnsi="Calibri"/>
          <w:b/>
          <w:color w:val="4A6B25"/>
          <w:sz w:val="20"/>
        </w:rPr>
        <w:t xml:space="preserve">2. </w:t>
      </w:r>
      <w:r>
        <w:rPr>
          <w:rFonts w:ascii="Calibri" w:hAnsi="Calibri"/>
          <w:b w:val="0"/>
          <w:color w:val="3A4A28"/>
          <w:sz w:val="20"/>
        </w:rPr>
        <w:t>Onsite location growth (1,900+ currently) embedding Fastenal directly into customer operations, creating structural relationships that competitors cannot easily displace [2]</w:t>
      </w:r>
    </w:p>
    <w:p>
      <w:pPr>
        <w:spacing w:before="40" w:after="40"/>
        <w:ind w:left="283"/>
      </w:pPr>
      <w:r>
        <w:rPr>
          <w:rFonts w:ascii="Calibri" w:hAnsi="Calibri"/>
          <w:b/>
          <w:color w:val="4A6B25"/>
          <w:sz w:val="20"/>
        </w:rPr>
        <w:t xml:space="preserve">3. </w:t>
      </w:r>
      <w:r>
        <w:rPr>
          <w:rFonts w:ascii="Calibri" w:hAnsi="Calibri"/>
          <w:b w:val="0"/>
          <w:color w:val="3A4A28"/>
          <w:sz w:val="20"/>
        </w:rPr>
        <w:t>Smooth CEO transition from Florness to Watts in July 2026 preserving founder-inspired frugal culture while accelerating digital transformation under sales-focused leadership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42.8x trailing P/E and 34.4x forward P/E requires sustained double-digit growth — any industrial slowdown or growth miss could trigger significant multiple compression [3]</w:t>
      </w:r>
    </w:p>
    <w:p>
      <w:pPr>
        <w:spacing w:before="40" w:after="40"/>
        <w:ind w:left="283"/>
      </w:pPr>
      <w:r>
        <w:rPr>
          <w:rFonts w:ascii="Calibri" w:hAnsi="Calibri"/>
          <w:b/>
          <w:color w:val="4A6B25"/>
          <w:sz w:val="20"/>
        </w:rPr>
        <w:t xml:space="preserve">2. </w:t>
      </w:r>
      <w:r>
        <w:rPr>
          <w:rFonts w:ascii="Calibri" w:hAnsi="Calibri"/>
          <w:b w:val="0"/>
          <w:color w:val="3A4A28"/>
          <w:sz w:val="20"/>
        </w:rPr>
        <w:t>Cyclical industrial demand exposure — Q4 2025 growth relied on 310-340bps of price increases amid sluggish underlying demand, and a manufacturing recession would directly impact fastener and safety product volumes [1]</w:t>
      </w:r>
    </w:p>
    <w:p>
      <w:pPr>
        <w:spacing w:before="40" w:after="40"/>
        <w:ind w:left="283"/>
      </w:pPr>
      <w:r>
        <w:rPr>
          <w:rFonts w:ascii="Calibri" w:hAnsi="Calibri"/>
          <w:b/>
          <w:color w:val="4A6B25"/>
          <w:sz w:val="20"/>
        </w:rPr>
        <w:t xml:space="preserve">3. </w:t>
      </w:r>
      <w:r>
        <w:rPr>
          <w:rFonts w:ascii="Calibri" w:hAnsi="Calibri"/>
          <w:b w:val="0"/>
          <w:color w:val="3A4A28"/>
          <w:sz w:val="20"/>
        </w:rPr>
        <w:t>Elevated 80.3% payout ratio limits financial flexibility for technology investment and FMI expansion, and tariff risk on imported industrial products could compress margins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Fastenal's core business — distributing physical fasteners, safety products, and industrial supplies — involves physical-world logistics that AI cannot substitute. Customers need actual bolts, nuts, safety glasses, and cutting tools delivered to job sites, factories, and construction projects. Fastenal's 134,000 smart vending devices embedded in customer operations create structural switching costs that no AI model can replicate [2]. The company's onsite model places Fastenal employees inside customer facilities, building relationships and workflow integration that are immune to AI displacement. AI Opportunity (0/1): While Fastenal's data infrastructure from 134,000 connected devices enables automated reordering and inventory optimization, the company does not generate revenue from AI products or services sold to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Fastenal Q4 2025 Earnings Release — $8.2B full-year revenue, 11.1% YoY growth, FMI and digital channel growth, January 2026</w:t>
      </w:r>
    </w:p>
    <w:p>
      <w:pPr>
        <w:spacing w:before="20" w:after="20"/>
        <w:ind w:left="170"/>
      </w:pPr>
      <w:r>
        <w:rPr>
          <w:rFonts w:ascii="Calibri" w:hAnsi="Calibri"/>
          <w:b/>
          <w:color w:val="4A6B25"/>
          <w:sz w:val="15"/>
        </w:rPr>
        <w:t xml:space="preserve">2. </w:t>
      </w:r>
      <w:r>
        <w:rPr>
          <w:rFonts w:ascii="Calibri" w:hAnsi="Calibri"/>
          <w:b w:val="0"/>
          <w:color w:val="3A4A28"/>
          <w:sz w:val="17"/>
        </w:rPr>
        <w:t>Digital Commerce 360, Distribution Strategy Group — Fastenal CEO transition, 134,000 FMI devices, 61% digital sales, founder culture,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FAST (Fastenal),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