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FATE</w:t>
      </w:r>
      <w:r>
        <w:rPr>
          <w:rFonts w:ascii="Calibri" w:hAnsi="Calibri"/>
          <w:b/>
          <w:color w:val="1A2010"/>
          <w:sz w:val="40"/>
        </w:rPr>
        <w:t xml:space="preserve">  Fate Therapeutics, Inc.</w:t>
      </w:r>
    </w:p>
    <w:p>
      <w:pPr>
        <w:spacing w:after="120"/>
      </w:pPr>
      <w:r>
        <w:rPr>
          <w:rFonts w:ascii="Calibri" w:hAnsi="Calibri"/>
          <w:b/>
          <w:color w:val="6E8450"/>
          <w:sz w:val="18"/>
        </w:rPr>
        <w:t>GROWTH SLEEVE · 2026-04-23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Fate Therapeutics is a clinical-stage biopharmaceutical company developing programmed cellular immunotherapies for cancer and autoimmune disorders using its proprietary induced pluripotent stem cell (iPSC) platform. Key programs include FT819 (off-the-shelf CAR T-cell therapy for autoimmune diseases), FT836 (solid tumors), and FT839 (multi-antigen dual-CAR T-cell). Headquartered in San Diego, California.</w:t>
      </w:r>
    </w:p>
    <w:p>
      <w:r>
        <w:rPr>
          <w:rFonts w:ascii="Calibri" w:hAnsi="Calibri"/>
          <w:b/>
          <w:color w:val="6E8450"/>
          <w:sz w:val="18"/>
        </w:rPr>
        <w:t>161 Employees · https://www.fatetherapeutics.com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Fate has advanced its iPSC platform from research to clinical trials over 15+ years with FT819 achieving outpatient dosing in autoimmune patients (15 SLE, 4 SSc, 1 IIM treated) — a meaningful clinical milestone, but no approved products or commercialized therapies yet [1]. Revenue declined from $96.3M (2022) to $6.6M (2025) as collaboration milestones wound down. AI Deployment (0/2): No evidence of AI-powered drug discovery or AI-driven cost savings; the company relies on proprietary iPSC biology rather than computational approaches [2]. Market Share (2/2): Fate has established a leadership position in iPSC-derived cell therapy with over 500 issued patents, proprietary Sword and Shield technology for chemotherapy-free dosing, and a first-mover advantage in off-the-shelf iPSC-derived CAR T-cell products [1][2]. Pipeline (1/2): FT819 registrational trial discussion planned for 2026 under RMAT designation; FT836 showing early anti-tumor activity in colorectal cancer without conditioning chemotherapy; FT839 multi-antigen dual-CAR T-cell program in preclinical stage [1]. Timelines remain general. R&amp;D Intensity (1/1): Operating expenses are almost entirely R&amp;D for a 161-person company, with the vast majority of the $136M in 2025 expenses directed toward clinical and preclinical programs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Fate's mission — to 'realize the promise of cellular immunotherapy by creating next-generation cell-based cancer and immune disorder treatments that are more effective, safer, and more broadly accessible' — is specific, thoughtful, and clearly connected to a larger purpose of making life-saving therapies available to more patients through off-the-shelf products [2]. This differentiates from peers by explicitly targeting accessibility. Community Impact (0/2): No evidence of significant charitable programs or community investment beyond clinical trial access; the company has a published early/expanded access policy but no quantified philanthropic activity [3]. Employee Retention (1/2): CEO Bahram Valamehr has been with the company for 15 years, rising from research leadership to CEO in January 2025, suggesting strong internal talent development and mission alignment. The 161-person workforce is lean for a clinical-stage biotech [2]. Insider Buying (0/2): Insiders are net sellers — CEO Valamehr sold 5,190 shares in January 2026 and 14,466 shares in August 2025, both at ~$1.06. No open-market purchases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Fate's financial profile reflects a pre-revenue clinical-stage biotech with severe fundamentals. Revenue collapsed from $96.3M (2022) to $6.6M (2025) as collaboration milestones from Ono Pharmaceutical wound down, yielding a -58.6% 3-year revenue CAGR [1][4]. Trailing net loss of $136.3M on $6.6M revenue with 0% profit margin and -51.8% ROE demonstrate the cash-burning nature of the business [1]. The sole bright spot is low D/E of 37.6%, reflecting $205.1M cash with projected runway through year-end 2027 [1]. Forward P/E of -1.3x confirms unprofitability with no earnings expected. The $159M market cap and $1.37 stock price create micro-cap volatility. Liquidity clears the floor at $2.1M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Fate Therapeutics demonstrates several infinite game characteristics — a 15+ year commitment to iPSC technology, leadership continuity through CEO Valamehr's long tenure, and a mission to make cell therapy accessible to more patients. However, the clinical-stage business model means the company is perpetually playing for survival, burning $136M annually with only $205M in cash, making long-term vision secondary to near-term clinical and financing milestones.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Fate's Just Cause — making cell therapy accessible through off-the-shelf iPSC-derived products that eliminate the need for patient-specific manufacturing — is genuine and service-oriented. The company has pursued this cause for 15+ years through multiple technology iterations, investing heavily in iPSC biology before the market demanded it [2]. The commitment to outpatient dosing without conditioning chemotherapy reflects a patient-first philosophy. However, the cause hasn't yet been validated by commercial success.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Valamehr's 15-year tenure from scientist to CEO suggests a strong internal culture of talent development and trust. The 161-person team has maintained scientific output (500+ patents) despite significant financial constraints and stock price decline from $100+ to $1.37 [2]. The leadership transition from Wolchko to Valamehr in January 2025 was orderly and planned. However, aggressive cost-cutting (30% opex reduction) and the small team size limit evidence of broader organizational trust.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Fate positions itself as a differentiated leader in iPSC-derived cell therapy and does not extensively discuss competitors or acknowledge rivals' strengths. The company's Ono Pharmaceutical collaboration shows willingness to partner, but competitive language focuses on Fate's proprietary advantages rather than learning from rivals in the autologous CAR-T space (BMS, Gilead) [1][2].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Fate has pivoted its clinical focus from oncology-only to include autoimmune diseases (SLE, systemic sclerosis), recognizing the emerging opportunity in off-the-shelf cell therapy for autoimmunity — an adjacent market that leverages the iPSC platform [1]. The 30% reduction in operating expenses in 2025 shows willingness to restructure for survival. However, the core iPSC platform has remained consistent rather than transformatively pivoting.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Fate has shown courage in continuing to invest in iPSC-derived cell therapy through a devastating stock decline (from $100+ to $1.37), maintaining R&amp;D programs when the market had largely written off the company [1]. The decision to expand into autoimmune indications while cutting costs shows strategic discipline — investing in high-potential programs while pruning others. However, the 30% opex cut also reflects financial necessity rather than purely courageous choice.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Fate Therapeutics is a clinical-stage biotech with a differentiated iPSC-derived cell therapy platform that has achieved meaningful clinical milestones — FT819 demonstrated outpatient dosing in 20 autoimmune patients without conditioning chemotherapy, and FT836 showed early anti-tumor activity in solid tumors [1]. The company's 500+ patent portfolio, proprietary Sword and Shield technology, and first-mover position in off-the-shelf iPSC-derived CAR T-cells create substantial scientific moat. With $205M cash providing runway through year-end 2027, planned discussion of an FT819 registrational trial under RMAT designation in 2026, and a $159M market cap, the risk-reward is asymmetric if clinical data supports approval — the autoimmune cell therapy market alone is projected to be multi-billion dollar [1][2].</w:t>
      </w:r>
    </w:p>
    <w:p>
      <w:pPr>
        <w:spacing w:after="120"/>
      </w:pPr>
      <w:r>
        <w:rPr>
          <w:rFonts w:ascii="Calibri" w:hAnsi="Calibri"/>
          <w:b w:val="0"/>
          <w:color w:val="3A4A28"/>
          <w:sz w:val="20"/>
        </w:rPr>
        <w:t>The bear case is substantial. Fate is burning $136M annually on $6.6M in revenue, with no approved products and a stock that has declined 98%+ from its highs above $100 [1][4]. The $205M cash runway through 2027 means dilutive financing is likely needed before any product reaches market, and the $159M market cap provides minimal equity cushion. Clinical-stage biotech risk is acute — FT819's autoimmune data, while promising, is from a small number of patients and a registrational trial could fail. Competition from autologous CAR-T therapies (Kymriah, Yescarta) and other off-the-shelf approaches (Allogene, CRISPR) is intensifying. Insiders are selling, not buying, at $1.06 per share — a signal that even management may lack conviction in the near-term outlook [4]. The -51.8% ROE and 0% profit margin with no path to profitability before 2029+ make this a speculative option on clinical success.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FT819 registrational trial discussion planned for 2026 under RMAT designation — if initiated, could accelerate path to approval in autoimmune indications with breakthrough therapy potential [1]</w:t>
      </w:r>
    </w:p>
    <w:p>
      <w:pPr>
        <w:spacing w:before="40" w:after="40"/>
        <w:ind w:left="283"/>
      </w:pPr>
      <w:r>
        <w:rPr>
          <w:rFonts w:ascii="Calibri" w:hAnsi="Calibri"/>
          <w:b/>
          <w:color w:val="4A6B25"/>
          <w:sz w:val="20"/>
        </w:rPr>
        <w:t xml:space="preserve">2. </w:t>
      </w:r>
      <w:r>
        <w:rPr>
          <w:rFonts w:ascii="Calibri" w:hAnsi="Calibri"/>
          <w:b w:val="0"/>
          <w:color w:val="3A4A28"/>
          <w:sz w:val="20"/>
        </w:rPr>
        <w:t>FT836 solid tumor data showing anti-tumor activity without conditioning chemotherapy, potentially expanding the addressable market beyond autoimmune diseases [1]</w:t>
      </w:r>
    </w:p>
    <w:p>
      <w:pPr>
        <w:spacing w:before="40" w:after="40"/>
        <w:ind w:left="283"/>
      </w:pPr>
      <w:r>
        <w:rPr>
          <w:rFonts w:ascii="Calibri" w:hAnsi="Calibri"/>
          <w:b/>
          <w:color w:val="4A6B25"/>
          <w:sz w:val="20"/>
        </w:rPr>
        <w:t xml:space="preserve">3. </w:t>
      </w:r>
      <w:r>
        <w:rPr>
          <w:rFonts w:ascii="Calibri" w:hAnsi="Calibri"/>
          <w:b w:val="0"/>
          <w:color w:val="3A4A28"/>
          <w:sz w:val="20"/>
        </w:rPr>
        <w:t>Autoimmune cell therapy market emerging as multi-billion dollar opportunity with Fate's off-the-shelf iPSC approach offering manufacturing and scalability advantages over autologous CAR-T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through year-end 2027 with $136M annual burn rate makes dilutive financing inevitable before any product commercialization, potentially devastating the $159M market cap [1]</w:t>
      </w:r>
    </w:p>
    <w:p>
      <w:pPr>
        <w:spacing w:before="40" w:after="40"/>
        <w:ind w:left="283"/>
      </w:pPr>
      <w:r>
        <w:rPr>
          <w:rFonts w:ascii="Calibri" w:hAnsi="Calibri"/>
          <w:b/>
          <w:color w:val="4A6B25"/>
          <w:sz w:val="20"/>
        </w:rPr>
        <w:t xml:space="preserve">2. </w:t>
      </w:r>
      <w:r>
        <w:rPr>
          <w:rFonts w:ascii="Calibri" w:hAnsi="Calibri"/>
          <w:b w:val="0"/>
          <w:color w:val="3A4A28"/>
          <w:sz w:val="20"/>
        </w:rPr>
        <w:t>Clinical-stage binary risk — FT819 data from only 20 autoimmune patients; registrational trial failure would be catastrophic given the concentrated pipeline [1]</w:t>
      </w:r>
    </w:p>
    <w:p>
      <w:pPr>
        <w:spacing w:before="40" w:after="40"/>
        <w:ind w:left="283"/>
      </w:pPr>
      <w:r>
        <w:rPr>
          <w:rFonts w:ascii="Calibri" w:hAnsi="Calibri"/>
          <w:b/>
          <w:color w:val="4A6B25"/>
          <w:sz w:val="20"/>
        </w:rPr>
        <w:t xml:space="preserve">3. </w:t>
      </w:r>
      <w:r>
        <w:rPr>
          <w:rFonts w:ascii="Calibri" w:hAnsi="Calibri"/>
          <w:b w:val="0"/>
          <w:color w:val="3A4A28"/>
          <w:sz w:val="20"/>
        </w:rPr>
        <w:t>98%+ stock decline from highs and insider selling at $1.06 suggest market and management skepticism about near-term value creation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Fate's core business — developing iPSC-derived cell therapies through wet lab biology, clinical trials, and regulatory pathways — is structurally protected from AI disruption. Cell therapy manufacturing, clinical development, and FDA approval processes involve physical biological processes that AI cannot substitute [1]. The iPSC platform, 500+ patents, and proprietary Sword and Shield technology create deep scientific moats. AI tools may assist drug discovery and clinical trial design but cannot replace the physical development and testing of cell-based therapies. AI Opportunity (0/1): No evidence of AI-generated revenue or AI-powered products. The company has not publicly adopted AI in its R&amp;D pipeline or reported AI-driven efficiencies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Fate Therapeutics Q4/FY2025 Earnings Release — $6.6M revenue, $136.3M net loss, $205.1M cash, FT819 and FT836 clinical updates, February 2026</w:t>
      </w:r>
    </w:p>
    <w:p>
      <w:pPr>
        <w:spacing w:before="20" w:after="20"/>
        <w:ind w:left="170"/>
      </w:pPr>
      <w:r>
        <w:rPr>
          <w:rFonts w:ascii="Calibri" w:hAnsi="Calibri"/>
          <w:b/>
          <w:color w:val="4A6B25"/>
          <w:sz w:val="15"/>
        </w:rPr>
        <w:t xml:space="preserve">2. </w:t>
      </w:r>
      <w:r>
        <w:rPr>
          <w:rFonts w:ascii="Calibri" w:hAnsi="Calibri"/>
          <w:b w:val="0"/>
          <w:color w:val="3A4A28"/>
          <w:sz w:val="17"/>
        </w:rPr>
        <w:t>Fate Therapeutics leadership transition announcement — CEO Bahram Valamehr succession, iPSC platform development, November 2024</w:t>
      </w:r>
    </w:p>
    <w:p>
      <w:pPr>
        <w:spacing w:before="20" w:after="20"/>
        <w:ind w:left="170"/>
      </w:pPr>
      <w:r>
        <w:rPr>
          <w:rFonts w:ascii="Calibri" w:hAnsi="Calibri"/>
          <w:b/>
          <w:color w:val="4A6B25"/>
          <w:sz w:val="15"/>
        </w:rPr>
        <w:t xml:space="preserve">3. </w:t>
      </w:r>
      <w:r>
        <w:rPr>
          <w:rFonts w:ascii="Calibri" w:hAnsi="Calibri"/>
          <w:b w:val="0"/>
          <w:color w:val="3A4A28"/>
          <w:sz w:val="17"/>
        </w:rPr>
        <w:t>Fate Therapeutics corporate responsibility and early/expanded access policy, fatetherapeutics.com</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FATE (Fate Therapeutics),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