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FA</w:t>
      </w:r>
      <w:r>
        <w:rPr>
          <w:rFonts w:ascii="Calibri" w:hAnsi="Calibri"/>
          <w:b/>
          <w:color w:val="1A2010"/>
          <w:sz w:val="40"/>
        </w:rPr>
        <w:t xml:space="preserve">  First Advantage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45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Business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First Advantage Corporation provides technology-enabled background screening, identity verification, and compliance solutions to employers worldwide. The company serves over 30,000 customers across all industries, processing millions of screens annually through proprietary AI-powered platforms and global data access spanning 200+ countries.</w:t>
      </w:r>
    </w:p>
    <w:p>
      <w:r>
        <w:rPr>
          <w:rFonts w:ascii="Calibri" w:hAnsi="Calibri"/>
          <w:b/>
          <w:color w:val="6E8450"/>
          <w:sz w:val="18"/>
        </w:rPr>
        <w:t>6,636 Employees · https://www.fadv.com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First Advantage is transitioning from a background screening service to a comprehensive capital risk management platform, targeting $2B revenue by 2028 [1]. The company's platforms leverage proprietary AI for faster, deeper screening and digital identity solutions, and management has publicly embraced responsible AI practices that prioritize fairness and transparency [3]. However, the core business remains screening commoditized data with limited R&amp;D differentiation, and the AI-driven replacement of verification specialists suggests efficiency gains over genuine innovation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Scott Staples holds 68% approval rating with employees and is actively setting new core values alongside the Chief People &amp; Culture Officer [3]. However, Glassdoor rating of 3.3/5 with only 45% of employees recommending the company reveals widespread dissatisfaction. Reviews cite leadership departures, unresponsive managers, and information misrouting [3]. The AI-driven layoff of an entire Verification Specialist team — replaced with AI and offshore workers — demonstrates prioritization of cost efficiency over employee welfare.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Q4 2025 revenue of $420M grew 36.8% YoY driven primarily by the Sterling acquisition, with organic growth decelerating to ~3% [1]. FY2026 guidance of $1.625-1.7B with adjusted EBITDA of $460-480M indicates ~28% margins on adjusted basis. However, GAAP profit margin remains negative at -2.2% and D/E of 159.5% reflects heavy acquisition-related leverage [2]. Forward P/E of 9.2x on adjusted earnings is cheap, but the stock at $12.97 reflects market skepticism about organic growth sustainability and integration execution.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First Advantage demonstrates mixed infinite/finite tendencies — the $2B by 2028 vision and platform transformation suggest long-term ambition, but AI-driven workforce displacement, FCRA compliance issues, and acquisition-heavy growth funded by leverage indicate finite game optimization of near-term metrics [1][4].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evolving mission to be a comprehensive capital risk management solution provides strategic direction, and the company's 2026 Global Trends Report positioning it as a thought leader in HR technology shows purpose beyond transactions [1]. However, the cause lacks emotional resonance — protecting employers from hiring risk is commercially valuable but not inspirationally compelling for employees or society.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Only 45% of employees recommend the company on Glassdoor, well below average, with reviews citing leadership turnover, unresponsive managers, and communication breakdowns [3]. The AI-driven elimination of the entire Verification Specialist team — replaced by technology and offshore workers — signals that trust with the workforce is transactional rather than relational. CEO's 68% approval suggests moderate confidence at best.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First Advantage competes against Sterling (now merged), Checkr, HireRight, and emerging AI-native screening startups. The Sterling acquisition consolidated a key rival, but the company's push into 'faster, deeper screening' through AI suggests competitive awareness [1]. The framing remains market share-oriented rather than industry-elevating.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 pivot from commodity background checks to comprehensive capital risk management platform demonstrates existential flexibility, with the $2B by 2028 target requiring expansion beyond traditional screening into identity verification, compliance monitoring, and continuous assessment [1]. The Sterling acquisition, while leveraging the balance sheet, shows willingness to transform the competitive landscape.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showed courage executing the Sterling acquisition to create industry scale and publicly embracing responsible AI practices [3]. However, the FCRA violation history, accuracy complaints documented by the BBB and legal actions [4], and AI-driven layoffs without apparent workforce transition programs suggest courage in financial engineering over ethical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First Advantage offers a transformational growth story at 9.2x forward adjusted earnings, with the Sterling acquisition creating the world's largest background screening platform targeting $2B revenue by 2028. AI-powered screening capabilities are driving operational efficiency and enabling expansion from commodity checks into comprehensive capital risk management across 200+ countries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investment case requires patience through acquisition integration and GAAP profitability normalization. D/E of 159.5% from the Sterling deal creates financial risk, organic growth has decelerated to ~3%, and employee sentiment (Glassdoor 3.3/5, 45% recommend) suggests cultural integration challenges [3]. The WATCH recommendation reflects cheap valuation offset by execution uncertainty — upgrading to HOLD requires evidence of sustained organic growth acceleration and margin expansion from combined platform synergies.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Sterling integration synergies driving adjusted EBITDA margin expansion toward 30%+ as duplicate infrastructure is consolidated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AI-powered platform differentiation enabling deeper screening capabilities and new product lines (continuous monitoring, digital identity) driving cross-sell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Hiring market recovery in 2H 2026 boosting organic screening volumes beyond the current 3% growth trajectory toward the $2B by 2028 target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Organic revenue growth decelerating to 3% suggests underlying demand softness that acquisition-driven growth is masking, risking the $2B by 2028 target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159.5% from Sterling acquisition limits strategic flexibility and increases vulnerability to hiring market downturns or rising interest costs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FCRA compliance history and background check accuracy complaints create regulatory and reputational risk as AI-driven automation scales screening volume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a powerful enabler for First Advantage's screening business, accelerating verification speed, improving accuracy, and enabling deeper data analysis across its global platform [1][3]. The company has already deployed AI to replace manual verification processes, demonstrating willingness to self-disrupt for efficiency gains. However, AI also lowers barriers to entry for competitors and could enable employers to build internal screening capabilities. The $2B revenue target by 2028 depends partly on AI-driven platform differentiation versus commoditization risk [1]. AI Risk Protection score of 6 plus AI Opportunity tiebreaker of 1.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First Advantage Q4 CY2025 Earnings Report and FY2026 Guidance, Yahoo Finance/StockStory,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FA key statistics and analyst estimates,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First Advantage Employee Reviews (1,093 reviews, 3.3/5 rating),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BBB Complaints and FCRA Accuracy Issues — First Advantage Corporation, Better Business Bureau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