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FBGL</w:t>
      </w:r>
      <w:r>
        <w:rPr>
          <w:rFonts w:ascii="Calibri" w:hAnsi="Calibri"/>
          <w:b/>
          <w:color w:val="1A2010"/>
          <w:sz w:val="40"/>
        </w:rPr>
        <w:t xml:space="preserve">  FBS Global Limited</w:t>
      </w:r>
    </w:p>
    <w:p>
      <w:pPr>
        <w:spacing w:after="120"/>
      </w:pPr>
      <w:r>
        <w:rPr>
          <w:rFonts w:ascii="Calibri" w:hAnsi="Calibri"/>
          <w:b/>
          <w:color w:val="6E8450"/>
          <w:sz w:val="18"/>
        </w:rPr>
        <w:t>GROWTH SLEEVE · 2026-04-15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Singapore</w:t>
      </w:r>
    </w:p>
    <w:p>
      <w:pPr>
        <w:spacing w:after="80"/>
      </w:pPr>
      <w:r>
        <w:rPr>
          <w:rFonts w:ascii="Calibri" w:hAnsi="Calibri"/>
          <w:b w:val="0"/>
          <w:color w:val="3A4A28"/>
          <w:sz w:val="20"/>
        </w:rPr>
        <w:t>FBS Global Limited is a Cayman-domiciled holding company operating through Singapore-based subsidiary Finebuild Systems Pte Ltd, a green building contractor and interior fit-out specialist with 20+ years of experience in institutional, residential, commercial, and industrial projects. The company IPO'd on NASDAQ in February 2025 at $4.50/share, raising ~$10.1M in gross proceeds.</w:t>
      </w:r>
    </w:p>
    <w:p>
      <w:r>
        <w:rPr>
          <w:rFonts w:ascii="Calibri" w:hAnsi="Calibri"/>
          <w:b/>
          <w:color w:val="6E8450"/>
          <w:sz w:val="18"/>
        </w:rPr>
        <w:t>80 Employees · https://www.fbsglobal.com.sg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fell -7.3% YoY in H1 2024 (S$8.33M), reversing prior 25-29% growth, and the company remains unprofitable with losses widening at ~51% CAGR over 5 years [1]. AI Deployment (0/2): No meaningful AI deployment disclosed; construction/fit-out is a labor-intensive, manual trade. Market Share (0/2): FBS Global is a micro-cap Singapore contractor with an ~$8.6M market cap competing in a fragmented regional construction market [1]. Pipeline (1/2): Secured project pipeline of ~S$104.8M (US$78.5M) across eight contracts including government-appointed main contractor subcontracts, plus a new $20M supply chain partnership through 2027 [3]. R&amp;D Intensity (1/1): March 2026 announcement of exclusive commercialization rights for advanced green and intelligent building technologies across international markets shows some innovation intent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Green building contractor positioning with focus on sustainable construction is a credible purpose, and the new exclusive rights for green/intelligent building tech reinforce the environmental mission [3]. Community Impact (1/2): Small Singapore-based employer (~80 employees) contributing to local infrastructure; limited scale. Employee Retention (0/2): No Glassdoor data or public employee sentiment available for this micro-cap [2]. Insider Buying (0/2): No disclosed insider buying; fresh post-IPO company with founder shares already concentrated.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FBS Global's financial profile is deeply challenged. Stock trades at $0.63 (vs. $4.50 IPO price in Feb 2025, an ~86% decline) with market cap of only $8.6M [4]. The company is unprofitable with profit margin of -4.5%, ROE of -8.0%, and revenue shrinking -5.9% YoY [4]. Debt-to-equity of 788% is extreme and signals financial distress for a post-IPO micro-cap. No P/E or forward P/E available as earnings are negative [4]. Liquidity floor: avg volume 1.6M x $0.63 = ~$1.01M, barely clearing the $1M minimum; recent volume of only 218K shares implies daily liquidity often falls below the floor [4]. No dividend. The combination of declining revenue, mounting losses, crushing leverage, and post-IPO equity collapse warrants a near-zero Infrastructure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FBS Global shows early-stage infinite game thinking through its 20+ year operating heritage and green-building just cause, but the post-IPO execution has been poor and the micro-cap scale limits long-term strategic optionality. The new green/intelligent building rights signal existential flexibility, but financial stress may force short-term survival mode.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Green building contractor positioning with a 20+ year Finebuild Systems heritage provides a credible long-duration cause around sustainable construction in Singapore's built environment [3]. The March 2026 green/intelligent building tech rights deal extends this cause internationally.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public Glassdoor or employee sentiment data available for this ~80-person Singapore contractor [2]. The 20+ year operating track record implies some retained institutional trust, but post-IPO turbulence (86% equity decline) may have strained team confidence.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FBS Global operates in a crowded fragmented Singapore construction market alongside larger main contractors who appoint Finebuild as subcontractor [3]. The company has not demonstrated an explicit rival-learning posture; its competitive position depends on being selected by main contractors rather than leading.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March 2026 deal for exclusive international commercialization rights to green/intelligent building technologies shows willingness to pivot beyond pure Singapore fit-out work [3]. However, execution capacity to deploy internationally from a $8.6M market cap base is unproven.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has not publicly demonstrated courageous decision-making since IPO; the equity decline and widening losses suggest reactive rather than proactive stewardship. Disclosure of the secured pipeline is appropriate but standard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FBS Global is a Singapore-based green building contractor that IPO'd on NASDAQ in February 2025 at $4.50, now trading at $0.63 — an 86% post-IPO decline reflecting deep investor skepticism [4]. The S$104.8M secured pipeline and new exclusive rights for international commercialization of green/intelligent building technologies provide some strategic optionality [3]. The company's 20+ year Finebuild Systems operating heritage in Singapore institutional/commercial fit-out gives it a credible niche in green construction [3]. However, the financial profile is alarming: revenue declined -7.3% YoY in H1 2024, losses are widening at ~51% CAGR, debt-to-equity is 788%, and the market cap has collapsed to ~$8.6M [1][4].</w:t>
      </w:r>
    </w:p>
    <w:p>
      <w:pPr>
        <w:spacing w:after="120"/>
      </w:pPr>
      <w:r>
        <w:rPr>
          <w:rFonts w:ascii="Calibri" w:hAnsi="Calibri"/>
          <w:b w:val="0"/>
          <w:color w:val="3A4A28"/>
          <w:sz w:val="20"/>
        </w:rPr>
        <w:t>The bear case dominates. FBS Global is a sub-$10M market cap micro-cap with negative earnings, shrinking revenue, extreme leverage (788% D/E), and daily trading volumes that often fall below the $1M liquidity threshold [4]. Post-IPO shareholders have lost 86% of capital in ~14 months. The core business is Singapore construction subcontracting — a fragmented, low-margin, labor-intensive trade with limited pricing power. The new 'intelligent building technologies' commercialization rights are promising on paper but require capital and operational scale the company does not possess. Singapore construction sector faces cyclical pressures and rising labor costs. For U.S. investors, this is a speculative micro-cap with governance, liquidity, and execution risks that collectively warrant a SELL recommendation until the company demonstrates sustained revenue growth, loss reduction, and balance sheet repair.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Commercialization of March 2026 exclusive rights for green and intelligent building technologies across international markets — if executed, could diversify revenue beyond Singapore fit-out [3]</w:t>
      </w:r>
    </w:p>
    <w:p>
      <w:pPr>
        <w:spacing w:before="40" w:after="40"/>
        <w:ind w:left="283"/>
      </w:pPr>
      <w:r>
        <w:rPr>
          <w:rFonts w:ascii="Calibri" w:hAnsi="Calibri"/>
          <w:b/>
          <w:color w:val="4A6B25"/>
          <w:sz w:val="20"/>
        </w:rPr>
        <w:t xml:space="preserve">2. </w:t>
      </w:r>
      <w:r>
        <w:rPr>
          <w:rFonts w:ascii="Calibri" w:hAnsi="Calibri"/>
          <w:b w:val="0"/>
          <w:color w:val="3A4A28"/>
          <w:sz w:val="20"/>
        </w:rPr>
        <w:t>Secured S$104.8M (US$78.5M) project pipeline across eight contracts plus new $20M supply chain partnership through 2027, if converted to revenue [1][3]</w:t>
      </w:r>
    </w:p>
    <w:p>
      <w:pPr>
        <w:spacing w:before="40" w:after="40"/>
        <w:ind w:left="283"/>
      </w:pPr>
      <w:r>
        <w:rPr>
          <w:rFonts w:ascii="Calibri" w:hAnsi="Calibri"/>
          <w:b/>
          <w:color w:val="4A6B25"/>
          <w:sz w:val="20"/>
        </w:rPr>
        <w:t xml:space="preserve">3. </w:t>
      </w:r>
      <w:r>
        <w:rPr>
          <w:rFonts w:ascii="Calibri" w:hAnsi="Calibri"/>
          <w:b w:val="0"/>
          <w:color w:val="3A4A28"/>
          <w:sz w:val="20"/>
        </w:rPr>
        <w:t>Singapore government green building mandates could drive demand for FBS's specialized sustainable construction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balance sheet leverage (debt-to-equity 788%) combined with negative earnings creates meaningful going-concern risk for a $8.6M market cap company [4]</w:t>
      </w:r>
    </w:p>
    <w:p>
      <w:pPr>
        <w:spacing w:before="40" w:after="40"/>
        <w:ind w:left="283"/>
      </w:pPr>
      <w:r>
        <w:rPr>
          <w:rFonts w:ascii="Calibri" w:hAnsi="Calibri"/>
          <w:b/>
          <w:color w:val="4A6B25"/>
          <w:sz w:val="20"/>
        </w:rPr>
        <w:t xml:space="preserve">2. </w:t>
      </w:r>
      <w:r>
        <w:rPr>
          <w:rFonts w:ascii="Calibri" w:hAnsi="Calibri"/>
          <w:b w:val="0"/>
          <w:color w:val="3A4A28"/>
          <w:sz w:val="20"/>
        </w:rPr>
        <w:t>Revenue decline of -7.3% YoY and losses widening at ~51% CAGR over 5 years indicate the core business is deteriorating faster than the green-tech pivot can compensate [1]</w:t>
      </w:r>
    </w:p>
    <w:p>
      <w:pPr>
        <w:spacing w:before="40" w:after="40"/>
        <w:ind w:left="283"/>
      </w:pPr>
      <w:r>
        <w:rPr>
          <w:rFonts w:ascii="Calibri" w:hAnsi="Calibri"/>
          <w:b/>
          <w:color w:val="4A6B25"/>
          <w:sz w:val="20"/>
        </w:rPr>
        <w:t xml:space="preserve">3. </w:t>
      </w:r>
      <w:r>
        <w:rPr>
          <w:rFonts w:ascii="Calibri" w:hAnsi="Calibri"/>
          <w:b w:val="0"/>
          <w:color w:val="3A4A28"/>
          <w:sz w:val="20"/>
        </w:rPr>
        <w:t>Liquidity risk — average daily dollar volume (~$1M) barely clears the minimum liquidity floor and recent volumes suggest the stock may become untradeable for institutional positions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Construction/fit-out work is physical, site-based, and relationship-driven, providing natural AI-disruption insulation for the core service [2]. However, design, estimating, and project management functions are increasingly subject to AI automation (generative design, BIM automation, AI takeoff tools) which could compress margins for small contractors lacking scale to invest [2]. The company's new exclusive rights for 'intelligent building technologies' suggest awareness of AI/IoT integration in buildings [3]. AI Opportunity (1/1): Intelligent building tech deployment and green building IoT integration offer modest differentiation opportunities if commercialization executes.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Simply Wall St — FBS Global revenue history, profitability trend, and 5-year loss CAGR,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FBS Global company profile — Finebuild Systems 20+ year track record in Singapore green building contracting</w:t>
      </w:r>
    </w:p>
    <w:p>
      <w:pPr>
        <w:spacing w:before="20" w:after="20"/>
        <w:ind w:left="170"/>
      </w:pPr>
      <w:r>
        <w:rPr>
          <w:rFonts w:ascii="Calibri" w:hAnsi="Calibri"/>
          <w:b/>
          <w:color w:val="4A6B25"/>
          <w:sz w:val="15"/>
        </w:rPr>
        <w:t xml:space="preserve">3. </w:t>
      </w:r>
      <w:r>
        <w:rPr>
          <w:rFonts w:ascii="Calibri" w:hAnsi="Calibri"/>
          <w:b w:val="0"/>
          <w:color w:val="3A4A28"/>
          <w:sz w:val="17"/>
        </w:rPr>
        <w:t>Manila Times / Investing.com / GlobeNewswire — FBS Global secures exclusive rights to green and intelligent building technologies, March 17,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FBGL,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