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FBIN</w:t>
      </w:r>
      <w:r>
        <w:rPr>
          <w:rFonts w:ascii="Calibri" w:hAnsi="Calibri"/>
          <w:b/>
          <w:color w:val="1A2010"/>
          <w:sz w:val="40"/>
        </w:rPr>
        <w:t xml:space="preserve">  Fortune Brands Innovations, Inc.</w:t>
      </w:r>
    </w:p>
    <w:p>
      <w:pPr>
        <w:spacing w:after="120"/>
      </w:pPr>
      <w:r>
        <w:rPr>
          <w:rFonts w:ascii="Calibri" w:hAnsi="Calibri"/>
          <w:b/>
          <w:color w:val="6E8450"/>
          <w:sz w:val="18"/>
        </w:rPr>
        <w:t>DIVIDEND SLEEVE · 2026-04-11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United States</w:t>
      </w:r>
    </w:p>
    <w:p>
      <w:pPr>
        <w:spacing w:after="80"/>
      </w:pPr>
      <w:r>
        <w:rPr>
          <w:rFonts w:ascii="Calibri" w:hAnsi="Calibri"/>
          <w:b w:val="0"/>
          <w:color w:val="3A4A28"/>
          <w:sz w:val="20"/>
        </w:rPr>
        <w:t>Fortune Brands Innovations, Inc. provides home, security, and digital products for residential home repair, remodeling, new construction, and security applications. It operates through Water (Moen, ROHL), Outdoors (Therma-Tru, Fiberon, Larson), and Security (Master Lock, Yale, August) segments. Incorporated in 1988 and headquartered in Deerfield, Illinois.</w:t>
      </w:r>
    </w:p>
    <w:p>
      <w:r>
        <w:rPr>
          <w:rFonts w:ascii="Calibri" w:hAnsi="Calibri"/>
          <w:b/>
          <w:color w:val="6E8450"/>
          <w:sz w:val="18"/>
        </w:rPr>
        <w:t>10,000 Employees · https://www.fbin.com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Fortune Brands rebranded from Fortune Brands Home &amp; Security to Fortune Brands Innovations in 2022, signaling a strategic shift toward digital and connected home products, but this was primarily a branding exercise rather than a transformative business model pivot — the core product portfolio (faucets, doors, locks) remains fundamentally unchanged [1][2]. AI Deployment (1/2): The Moen Smart Water Monitor and Shutoff represents a deployed IoT/smart home product, and the company has a Chief Digital and Innovation Officer (John Lee) leading digital technology and data analytics teams, though no quantified AI-driven revenue or cost savings have been disclosed [2]. Market Share (2/2): Moen is the #1 faucet brand in North America with leading market share in a category it helped define; Master Lock and Yale hold dominant positions in the consumer padlock and residential smart lock markets, respectively [1]. Product Pipeline (1/2): The company is expanding Moen's smart water ecosystem and developing connected security products under the Yale and August brands, providing near-term digital product visibility, though specific launch dates and revenue forecasts are limited [2]. R&amp;D Intensity (0/1): Building products companies invest modestly in R&amp;D relative to technology peers, and FBIN's innovation spending appears at or near industry average for the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Fortune Brands articulates a clear purpose around making homes better and more secure, with their 'blueprint' framework connecting brand-driven innovation to consumer outcomes — clear and relevant but not deeply distinctive or transcending the obvious product-level value proposition [2]. Community Impact (1/2): The company's ESG report highlights strong safety performance (total recordable incident rate &lt; 1.0), supplier diversity programs, emissions reduction progress, and renewable energy adoption, though specific charitable giving amounts are not prominently disclosed [3]. Employee Retention (0/2): No specific retention or tenure data available; the March 2026 CEO departure and leadership turmoil creates organizational uncertainty that likely impacts employee confidence and retention [2]. Insider Buying (0/2): No evidence of open-market insider purchases; all recent insider transactions are stock award grants with no voluntary buying, suggesting leadership is not putting personal capital at risk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available financial metrics. FBIN's forward P/E of 10.2x reflects significant market skepticism about near-term earnings trajectory, with FY2026 EPS guidance of $3.35-$3.65 falling below consensus of $4.06, implying a disappointing year ahead [1]. D/E of 118% is elevated but manageable for a capital-efficient business with strong brands. Revenue has declined from $4.72B in 2022 to $4.46B in 2025, a persistent 3-year contraction reflecting weak housing and remodeling markets [4]. ROE of 12.4% and profit margin of 6.7% are both below targets, compressed by volume deleverage in a cyclically weak environment. The dividend profile provides stability: 14 consecutive years of payment, a conservative 40.5% payout ratio, and the recent increase to $1.04/year signals management confidence despite earnings headwinds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Fortune Brands Innovations demonstrates a finite mindset compounded by a leadership crisis. The March 2026 CEO departure — where designated successor Amit Banati chose not to assume the role — suggests organizational dysfunction at the highest levels and an absence of clear purpose beyond financial optimization. The company's strategic language centers on 'outperforming end markets,' 'accelerated growth,' and 'margin expansion' — finite metrics without connection to a deeper cause. The rebranding to 'Innovations' rings hollow when revenue has declined three consecutive years and the innovation pipeline remains incremental.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FBIN's stated purpose of making homes better and more secure is clear but shallow — it describes a product category, not a vision of a future state worth sacrificing for. The 2022 rebranding to 'Fortune Brands Innovations' attempted to signal transformation, but three years later the core business remains faucets, doors, and locks with incremental smart-home additions. The Just Cause test asks: would this company look different if it took its purpose seriously? The answer is no — strategic decisions are driven by end-market conditions and margin optimization, not purpose (1 point)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March 2026 CEO crisis is a significant trust red flag — designated successor Amit Banati's refusal to assume the CEO role and resignation from the board suggests deep dysfunction at the leadership level that inevitably cascades through the organization [2]. The appointment of interim CEO David Barry creates uncertainty for 10,000 employees navigating already-challenging end markets. No employee satisfaction data is available, and the leadership instability makes positive cultural inference impossible. This is a low-trust organizational moment (0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FBIN's competitive language focuses on 'outperforming end markets' and market share gains — finite framing about winning rather than improving. The company does not publicly acknowledge competitors' strengths in digital home innovation (e.g., Google Nest's ecosystem advantage, Kohler's design leadership) as inspiration for self-improvement. Competition is framed as a share battle, not a learning opportunity (0 points)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2022 rebranding from Fortune Brands Home &amp; Security to Fortune Brands Innovations, combined with the creation of a Chief Digital and Innovation Officer role and expansion of the Moen smart water ecosystem, represents incremental adaptation toward connected home products [2]. However, this is evolutionary, not transformative — the company is still fundamentally a building products manufacturer adding sensors to existing products. No evidence of willingness to abandon legacy product lines in service of a bigger vision (1 point).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leadership vacuum created by the CEO succession crisis undermines any case for courage. Rather than a courageous long-term bet, the company faces a governance failure — the board's chosen successor refused the role, forcing an interim appointment and external CEO search during a challenging market [2]. FY2026 guidance below consensus ($3.35-$3.65 vs $4.06 expected) reflects either honest assessment or lack of strategic conviction. No evidence of management sacrificing near-term results for long-term capability (0 points)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Fortune Brands Innovations offers deep cyclical value at 10.2x forward earnings with leading brand positions in water (Moen #1), security (Master Lock, Yale), and outdoor living (Therma-Tru). The stock has declined significantly from its 52-week highs, pricing in a severe housing downturn with FY2026 EPS guidance of $3.35-$3.65 implying further earnings compression [1]. When the housing cycle turns — and it will — FBIN's operating leverage on $4.5B+ in revenue should drive significant EPS recovery toward normalized $4.50-$5.00+. The 2.6% dividend yield with a conservative 40.5% payout ratio provides downside support, and the broker consensus target of $59 implies 46% upside from current levels [1][4].</w:t>
      </w:r>
    </w:p>
    <w:p>
      <w:pPr>
        <w:spacing w:after="120"/>
      </w:pPr>
      <w:r>
        <w:rPr>
          <w:rFonts w:ascii="Calibri" w:hAnsi="Calibri"/>
          <w:b w:val="0"/>
          <w:color w:val="3A4A28"/>
          <w:sz w:val="20"/>
        </w:rPr>
        <w:t>The bear case is multi-layered and serious. Revenue has contracted for three consecutive years from $4.72B to $4.46B, with no clear catalyst for inflection in a housing market burdened by elevated mortgage rates and limited existing-home turnover [4]. The CEO succession crisis is deeply concerning — designated successor Banati's refusal of the role suggests internal dysfunction that the board must address while simultaneously navigating a cyclical downturn [2]. FY2026 EPS guidance 17% below consensus destroyed near-term investor confidence and raises questions about margin sustainability. D/E of 118% adds balance sheet risk if the downturn persists longer than expected, and smart home competition from well-capitalized tech giants (Amazon, Google) could erode the value proposition of FBIN's connected products before they achieve meaningful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market recovery driven by eventual mortgage rate normalization and pent-up demand from 3+ years of suppressed existing-home sales, which would drive volume recovery across all three segments</w:t>
      </w:r>
    </w:p>
    <w:p>
      <w:pPr>
        <w:spacing w:before="40" w:after="40"/>
        <w:ind w:left="283"/>
      </w:pPr>
      <w:r>
        <w:rPr>
          <w:rFonts w:ascii="Calibri" w:hAnsi="Calibri"/>
          <w:b/>
          <w:color w:val="4A6B25"/>
          <w:sz w:val="20"/>
        </w:rPr>
        <w:t xml:space="preserve">2. </w:t>
      </w:r>
      <w:r>
        <w:rPr>
          <w:rFonts w:ascii="Calibri" w:hAnsi="Calibri"/>
          <w:b w:val="0"/>
          <w:color w:val="3A4A28"/>
          <w:sz w:val="20"/>
        </w:rPr>
        <w:t>Successful permanent CEO appointment that stabilizes the leadership team and restores investor confidence in strategic direction and execution capability</w:t>
      </w:r>
    </w:p>
    <w:p>
      <w:pPr>
        <w:spacing w:before="40" w:after="40"/>
        <w:ind w:left="283"/>
      </w:pPr>
      <w:r>
        <w:rPr>
          <w:rFonts w:ascii="Calibri" w:hAnsi="Calibri"/>
          <w:b/>
          <w:color w:val="4A6B25"/>
          <w:sz w:val="20"/>
        </w:rPr>
        <w:t xml:space="preserve">3. </w:t>
      </w:r>
      <w:r>
        <w:rPr>
          <w:rFonts w:ascii="Calibri" w:hAnsi="Calibri"/>
          <w:b w:val="0"/>
          <w:color w:val="3A4A28"/>
          <w:sz w:val="20"/>
        </w:rPr>
        <w:t>Moen Smart Water ecosystem expansion and Yale connected lock adoption driving higher-margin digital recurring revenue that diversifies beyond cyclical renovation and new construction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housing downturn from elevated mortgage rates could extend the revenue contraction beyond 2026, further compressing margins and potentially threatening dividend sustainability</w:t>
      </w:r>
    </w:p>
    <w:p>
      <w:pPr>
        <w:spacing w:before="40" w:after="40"/>
        <w:ind w:left="283"/>
      </w:pPr>
      <w:r>
        <w:rPr>
          <w:rFonts w:ascii="Calibri" w:hAnsi="Calibri"/>
          <w:b/>
          <w:color w:val="4A6B25"/>
          <w:sz w:val="20"/>
        </w:rPr>
        <w:t xml:space="preserve">2. </w:t>
      </w:r>
      <w:r>
        <w:rPr>
          <w:rFonts w:ascii="Calibri" w:hAnsi="Calibri"/>
          <w:b w:val="0"/>
          <w:color w:val="3A4A28"/>
          <w:sz w:val="20"/>
        </w:rPr>
        <w:t>CEO succession failure — inability to attract a high-caliber permanent CEO during a cyclical trough could lead to strategic drift, talent attrition, and further deterioration in execution quality</w:t>
      </w:r>
    </w:p>
    <w:p>
      <w:pPr>
        <w:spacing w:before="40" w:after="40"/>
        <w:ind w:left="283"/>
      </w:pPr>
      <w:r>
        <w:rPr>
          <w:rFonts w:ascii="Calibri" w:hAnsi="Calibri"/>
          <w:b/>
          <w:color w:val="4A6B25"/>
          <w:sz w:val="20"/>
        </w:rPr>
        <w:t xml:space="preserve">3. </w:t>
      </w:r>
      <w:r>
        <w:rPr>
          <w:rFonts w:ascii="Calibri" w:hAnsi="Calibri"/>
          <w:b w:val="0"/>
          <w:color w:val="3A4A28"/>
          <w:sz w:val="20"/>
        </w:rPr>
        <w:t>Smart home competitive displacement from Amazon (Ring), Google (Nest), and Apple (HomeKit) ecosystems could commoditize FBIN's connected lock and sensor products, limiting the digital revenue growth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Fortune Brands' core products — physical faucets, entry doors, deadbolts, padlocks, and decking — are tangible goods that AI structurally cannot replace. Consumers will always need a physical Moen faucet installed in their kitchen and a Master Lock on their storage unit. The manufacturing, distribution, and brand-loyalty moats in building products create meaningful barriers that software cannot disrupt [1]. However, the security segment faces moderate AI-adjacent competition from smart home ecosystems (Google Nest, Ring/Amazon) that could commoditize the hardware layer of connected locks and shift value to the software/platform layer. AI Opportunity (0/1): While Moen's Smart Water Monitor uses IoT/data analytics, no specific AI-generated revenue has been quantified, and the company has not disclosed AI as a material revenue contributor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Fortune Brands Innovations Q4 2025 and Full-Year 2025 Earnings Release, February 2026; FY2026 Guidance</w:t>
      </w:r>
    </w:p>
    <w:p>
      <w:pPr>
        <w:spacing w:before="20" w:after="20"/>
        <w:ind w:left="170"/>
      </w:pPr>
      <w:r>
        <w:rPr>
          <w:rFonts w:ascii="Calibri" w:hAnsi="Calibri"/>
          <w:b/>
          <w:color w:val="4A6B25"/>
          <w:sz w:val="15"/>
        </w:rPr>
        <w:t xml:space="preserve">2. </w:t>
      </w:r>
      <w:r>
        <w:rPr>
          <w:rFonts w:ascii="Calibri" w:hAnsi="Calibri"/>
          <w:b w:val="0"/>
          <w:color w:val="3A4A28"/>
          <w:sz w:val="17"/>
        </w:rPr>
        <w:t>TipRanks — 'Fortune Brands Innovations Announces CEO Transition Amid Challenges' and 'Major Leadership and Governance Changes', March 2026; LEADERS Magazine CEO interview</w:t>
      </w:r>
    </w:p>
    <w:p>
      <w:pPr>
        <w:spacing w:before="20" w:after="20"/>
        <w:ind w:left="170"/>
      </w:pPr>
      <w:r>
        <w:rPr>
          <w:rFonts w:ascii="Calibri" w:hAnsi="Calibri"/>
          <w:b/>
          <w:color w:val="4A6B25"/>
          <w:sz w:val="15"/>
        </w:rPr>
        <w:t xml:space="preserve">3. </w:t>
      </w:r>
      <w:r>
        <w:rPr>
          <w:rFonts w:ascii="Calibri" w:hAnsi="Calibri"/>
          <w:b w:val="0"/>
          <w:color w:val="3A4A28"/>
          <w:sz w:val="17"/>
        </w:rPr>
        <w:t>Fortune Brands Innovations 2024 ESG Report and Corporate Responsibility page — fbin.com,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FBIN key statistics and financial data,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The Markets Daily — 'Brokerages Set FBIN Price Target at $59.09',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