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FBIO</w:t>
      </w:r>
      <w:r>
        <w:rPr>
          <w:rFonts w:ascii="Calibri" w:hAnsi="Calibri"/>
          <w:b/>
          <w:color w:val="1A2010"/>
          <w:sz w:val="40"/>
        </w:rPr>
        <w:t xml:space="preserve">  Fortress Biotech, Inc.</w:t>
      </w:r>
    </w:p>
    <w:p>
      <w:pPr>
        <w:spacing w:after="120"/>
      </w:pPr>
      <w:r>
        <w:rPr>
          <w:rFonts w:ascii="Calibri" w:hAnsi="Calibri"/>
          <w:b/>
          <w:color w:val="6E8450"/>
          <w:sz w:val="18"/>
        </w:rPr>
        <w:t>GROWTH SLEEVE · 2026-05-06 · Inspire: 40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Fortress Biotech operates as a biopharmaceutical holding company that acquires, develops, and commercializes pharmaceutical and biotechnology products. Its marketed portfolio includes dermatology products (Emrosi, Amzeeq, Zilxi, Qbrexza) and oncology treatments (UNLOXCYT), with a pipeline spanning rare diseases, pain management, and infectious disease vaccines.</w:t>
      </w:r>
    </w:p>
    <w:p>
      <w:r>
        <w:rPr>
          <w:rFonts w:ascii="Calibri" w:hAnsi="Calibri"/>
          <w:b/>
          <w:color w:val="6E8450"/>
          <w:sz w:val="18"/>
        </w:rPr>
        <w:t>78 Employees · https://www.fortressbiotech.com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Fortress secured FDA approval of ZYCUBO (copper histidinate) for Menkes Disease in January 2026, the first approved treatment for this rare condition, demonstrating pipeline execution capability [1]. The Partex AI collaboration for drug asset identification is promising but early-stage, deploying AI to screen compounds across therapeutic areas for acquisition or licensing [3]. However, the company's innovation model is fundamentally acquisitive rather than discovery-driven — with only 78 employees and no internal R&amp;D engine, Fortress relies on subsidiary companies and external partnerships to advance candidates, limiting its organic innovation capacity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Dr. Lindsay Rosenwald has led Fortress since 2013 as a serial biotech entrepreneur, but the holding company structure creates distance between leadership and patient mission [3]. Glassdoor reviews describe working with 'brilliant minds' but note weak communication from leadership and lack of organizational structure [3]. With only 78 employees and a 65% distress probability according to Macroaxis, the company's ability to inspire long-term stakeholder commitment is significantly constrained by existential financial uncertainty [3][4].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Fortress's financial infrastructure is fragile: $79M cash against $67M debt provides limited runway, while FY2025 revenue of $63.3M and EBITDA of -$65.6M reflect ongoing cash burn [2]. Return on equity of -108.7% and negative forward EPS of -$1.76 indicate the company remains deeply unprofitable on a normalized basis [2]. The trailing profit margin of 10.8% is misleading, driven by one-time gains in Q3 2025 rather than sustainable operations, and revenue has declined from the $84.5M peak in 2023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Fortress operates primarily as a financial vehicle for biotech asset aggregation rather than a mission-driven organization. The holding company model, 65% distress probability, and founder-dependent leadership structure suggest finite game orientation focused on near-term deal execution rather than building an enduring institution.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Fortress's subsidiary companies address genuine patient needs — ZYCUBO for Menkes Disease and UNLOXCYT for metastatic cutaneous squamous cell carcinoma serve underserved populations [1]. However, the parent company's cause is fundamentally financial arbitrage on biotech assets rather than a patient-centered mission, and the complex subsidiary structure dilutes mission clarity [3].</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With only 78 employees and a holding company structure that disperses talent across subsidiaries, Fortress lacks the scale and cohesion to build high-trust teams [2]. Limited Glassdoor data suggests mixed experiences — employees cite brilliant colleagues but note poor communication and lack of organizational structure [3]. The 65% distress probability creates an inherently unstable employment environment [4].</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Fortress operates as an acquirer rather than a direct competitor in any single therapeutic area, making the worthy rivals framework less applicable. The company does not appear to systematically benchmark against specific competitors or use competitive pressure to drive improvement — instead, it seeks undervalued assets across a fragmented landscape [3].</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Fortress has demonstrated flexibility by operating across dermatology, oncology, rare diseases, infectious diseases, and pain management through its multi-subsidiary model [1][3]. The Partex AI collaboration represents an attempt to modernize asset sourcing. However, this diversification reflects opportunistic deal-making rather than strategic pivots, and the company has not demonstrated ability to exit declining areas effectively — revenue declined from $84.5M in 2023 to $63.3M in 2025 [1].</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Dr. Rosenwald's 12-year tenure provides continuity, but Fortress has not demonstrated courage to make difficult strategic decisions — the company continues to spread resources thinly across too many subsidiaries and therapeutic areas rather than focusing on core competencies [3]. FDA manufacturing deficiency warnings and persistent cash burn suggest reactive rather than courageous leadership [3][4].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Fortress Biotech's ZYCUBO FDA approval for Menkes Disease in January 2026 validates the company's rare disease pipeline and could generate meaningful orphan drug revenue at premium pricing [1]. The Partex AI collaboration to accelerate asset identification offers a differentiated approach to biotech deal sourcing [3]. FY2025 revenue of $63.3M (+6.3% YoY) shows stabilization after the 2024 decline, and the company's $79M cash position and diverse marketed product portfolio provide some near-term runway [2]. At an $82M market cap, any single pipeline success could drive significant upside.</w:t>
      </w:r>
    </w:p>
    <w:p>
      <w:pPr>
        <w:spacing w:after="120"/>
      </w:pPr>
      <w:r>
        <w:rPr>
          <w:rFonts w:ascii="Calibri" w:hAnsi="Calibri"/>
          <w:b w:val="0"/>
          <w:color w:val="3A4A28"/>
          <w:sz w:val="20"/>
        </w:rPr>
        <w:t>The bear case is substantial. Fortress faces a 65% probability of financial distress with persistent cash burn: FY2025 EBITDA of -$65.6M and free cash flow of -$47.3M are consuming the $79M cash cushion rapidly [2][4]. Return on equity of -108.7% and a negative forward P/E signal deep, structural unprofitability. Revenue has declined 25% from the 2023 peak of $84.5M, the holding company structure creates value-destructive complexity, and FDA manufacturing deficiency warnings add regulatory risk [1][3]. With only 78 employees and a founder-dependent model, Fortress lacks the organizational depth to execute across its sprawling portfolio of subsidiaries and pipeline programs.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ZYCUBO (Menkes Disease) commercial launch generating orphan drug revenue at premium pricing in 2026</w:t>
      </w:r>
    </w:p>
    <w:p>
      <w:pPr>
        <w:spacing w:before="40" w:after="40"/>
        <w:ind w:left="283"/>
      </w:pPr>
      <w:r>
        <w:rPr>
          <w:rFonts w:ascii="Calibri" w:hAnsi="Calibri"/>
          <w:b/>
          <w:color w:val="4A6B25"/>
          <w:sz w:val="20"/>
        </w:rPr>
        <w:t xml:space="preserve">2. </w:t>
      </w:r>
      <w:r>
        <w:rPr>
          <w:rFonts w:ascii="Calibri" w:hAnsi="Calibri"/>
          <w:b w:val="0"/>
          <w:color w:val="3A4A28"/>
          <w:sz w:val="20"/>
        </w:rPr>
        <w:t>CAEL-101 Phase III readout for amyloid light chain amyloidosis could unlock significant rare disease market opportunity</w:t>
      </w:r>
    </w:p>
    <w:p>
      <w:pPr>
        <w:spacing w:before="40" w:after="40"/>
        <w:ind w:left="283"/>
      </w:pPr>
      <w:r>
        <w:rPr>
          <w:rFonts w:ascii="Calibri" w:hAnsi="Calibri"/>
          <w:b/>
          <w:color w:val="4A6B25"/>
          <w:sz w:val="20"/>
        </w:rPr>
        <w:t xml:space="preserve">3. </w:t>
      </w:r>
      <w:r>
        <w:rPr>
          <w:rFonts w:ascii="Calibri" w:hAnsi="Calibri"/>
          <w:b w:val="0"/>
          <w:color w:val="3A4A28"/>
          <w:sz w:val="20"/>
        </w:rPr>
        <w:t>Partex AI platform identifying high-value biotech assets for acquisition at lower cost than traditional drug discovery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65% probability of financial distress with FY2025 EBITDA of -$65.6M and only $79M cash, raising dilution or insolvency risk</w:t>
      </w:r>
    </w:p>
    <w:p>
      <w:pPr>
        <w:spacing w:before="40" w:after="40"/>
        <w:ind w:left="283"/>
      </w:pPr>
      <w:r>
        <w:rPr>
          <w:rFonts w:ascii="Calibri" w:hAnsi="Calibri"/>
          <w:b/>
          <w:color w:val="4A6B25"/>
          <w:sz w:val="20"/>
        </w:rPr>
        <w:t xml:space="preserve">2. </w:t>
      </w:r>
      <w:r>
        <w:rPr>
          <w:rFonts w:ascii="Calibri" w:hAnsi="Calibri"/>
          <w:b w:val="0"/>
          <w:color w:val="3A4A28"/>
          <w:sz w:val="20"/>
        </w:rPr>
        <w:t>Revenue declined 25% from 2023 peak despite growing product portfolio, suggesting commercial execution weakness across subsidiaries</w:t>
      </w:r>
    </w:p>
    <w:p>
      <w:pPr>
        <w:spacing w:before="40" w:after="40"/>
        <w:ind w:left="283"/>
      </w:pPr>
      <w:r>
        <w:rPr>
          <w:rFonts w:ascii="Calibri" w:hAnsi="Calibri"/>
          <w:b/>
          <w:color w:val="4A6B25"/>
          <w:sz w:val="20"/>
        </w:rPr>
        <w:t xml:space="preserve">3. </w:t>
      </w:r>
      <w:r>
        <w:rPr>
          <w:rFonts w:ascii="Calibri" w:hAnsi="Calibri"/>
          <w:b w:val="0"/>
          <w:color w:val="3A4A28"/>
          <w:sz w:val="20"/>
        </w:rPr>
        <w:t>FDA manufacturing deficiency warnings and complex multi-subsidiary structure create regulatory and operational risk that 78 employees cannot adequately manage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NEUTRAL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presents a moderate opportunity for Fortress through its Partex collaboration, which uses a proprietary AI platform to identify and evaluate biopharmaceutical compounds for acquisition [3]. This is a reasonable application of AI for a holding-company model — accelerating asset screening across therapeutic areas. However, AI is not central to Fortress's existing marketed products (dermatology creams, topical foams), and the company lacks the data scale or R&amp;D infrastructure to build proprietary AI capabilities internally [3]. AI disruption risk is modest: while AI-driven drug discovery could pressure acquisition costs upward, Fortress's niche focus on rare diseases and specialized dermatology products faces limited direct AI substitution threat.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Fortress Biotech FY2025 financial results and ZYCUBO FDA approval, January 2026</w:t>
      </w:r>
    </w:p>
    <w:p>
      <w:pPr>
        <w:spacing w:before="20" w:after="20"/>
        <w:ind w:left="170"/>
      </w:pPr>
      <w:r>
        <w:rPr>
          <w:rFonts w:ascii="Calibri" w:hAnsi="Calibri"/>
          <w:b/>
          <w:color w:val="4A6B25"/>
          <w:sz w:val="15"/>
        </w:rPr>
        <w:t xml:space="preserve">2. </w:t>
      </w:r>
      <w:r>
        <w:rPr>
          <w:rFonts w:ascii="Calibri" w:hAnsi="Calibri"/>
          <w:b w:val="0"/>
          <w:color w:val="3A4A28"/>
          <w:sz w:val="17"/>
        </w:rPr>
        <w:t>Yahoo Finance — FBIO key statistics, accessed May 2026</w:t>
      </w:r>
    </w:p>
    <w:p>
      <w:pPr>
        <w:spacing w:before="20" w:after="20"/>
        <w:ind w:left="170"/>
      </w:pPr>
      <w:r>
        <w:rPr>
          <w:rFonts w:ascii="Calibri" w:hAnsi="Calibri"/>
          <w:b/>
          <w:color w:val="4A6B25"/>
          <w:sz w:val="15"/>
        </w:rPr>
        <w:t xml:space="preserve">3. </w:t>
      </w:r>
      <w:r>
        <w:rPr>
          <w:rFonts w:ascii="Calibri" w:hAnsi="Calibri"/>
          <w:b w:val="0"/>
          <w:color w:val="3A4A28"/>
          <w:sz w:val="17"/>
        </w:rPr>
        <w:t>Partex and Fortress Biotech AI collaboration announcement, March 2025</w:t>
      </w:r>
    </w:p>
    <w:p>
      <w:pPr>
        <w:spacing w:before="20" w:after="20"/>
        <w:ind w:left="170"/>
      </w:pPr>
      <w:r>
        <w:rPr>
          <w:rFonts w:ascii="Calibri" w:hAnsi="Calibri"/>
          <w:b/>
          <w:color w:val="4A6B25"/>
          <w:sz w:val="15"/>
        </w:rPr>
        <w:t xml:space="preserve">4. </w:t>
      </w:r>
      <w:r>
        <w:rPr>
          <w:rFonts w:ascii="Calibri" w:hAnsi="Calibri"/>
          <w:b w:val="0"/>
          <w:color w:val="3A4A28"/>
          <w:sz w:val="17"/>
        </w:rPr>
        <w:t>Macroaxis — Fortress Biotech probability of bankruptcy analysis, accessed May 2026</w:t>
      </w:r>
    </w:p>
    <w:p>
      <w:pPr>
        <w:spacing w:before="20" w:after="20"/>
        <w:ind w:left="170"/>
      </w:pPr>
      <w:r>
        <w:rPr>
          <w:rFonts w:ascii="Calibri" w:hAnsi="Calibri"/>
          <w:b/>
          <w:color w:val="4A6B25"/>
          <w:sz w:val="15"/>
        </w:rPr>
        <w:t xml:space="preserve">5. </w:t>
      </w:r>
      <w:r>
        <w:rPr>
          <w:rFonts w:ascii="Calibri" w:hAnsi="Calibri"/>
          <w:b w:val="0"/>
          <w:color w:val="3A4A28"/>
          <w:sz w:val="17"/>
        </w:rPr>
        <w:t>Fortress Biotech Glassdoor reviews and management team profiles</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