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FBLG</w:t>
      </w:r>
      <w:r>
        <w:rPr>
          <w:rFonts w:ascii="Calibri" w:hAnsi="Calibri"/>
          <w:b/>
          <w:color w:val="1A2010"/>
          <w:sz w:val="40"/>
        </w:rPr>
        <w:t xml:space="preserve">  FibroBiologics, Inc.</w:t>
      </w:r>
    </w:p>
    <w:p>
      <w:pPr>
        <w:spacing w:after="120"/>
      </w:pPr>
      <w:r>
        <w:rPr>
          <w:rFonts w:ascii="Calibri" w:hAnsi="Calibri"/>
          <w:b/>
          <w:color w:val="6E8450"/>
          <w:sz w:val="18"/>
        </w:rPr>
        <w:t>GROWTH SLEEVE · 2026-04-23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FibroBiologics is a clinical-stage biotechnology company developing fibroblast cell-based therapies for chronic diseases. The pipeline includes CYWC628 (wound healing, Phase 1/2 in Australia), CYMS101 (multiple sclerosis, Phase 1 completed), CYPS317 (psoriasis, IND pending), and preclinical programs in disc degeneration, longevity, and cancer. The company holds 270+ US and international patents/patents pending.</w:t>
      </w:r>
    </w:p>
    <w:p>
      <w:r>
        <w:rPr>
          <w:rFonts w:ascii="Calibri" w:hAnsi="Calibri"/>
          <w:b/>
          <w:color w:val="6E8450"/>
          <w:sz w:val="18"/>
        </w:rPr>
        <w:t>15 Employees · https://fibrobiologics.com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FibroBiologics completed a Phase 1 trial for CYMS101 in multiple sclerosis and advanced CYWC628 toward a Phase 1/2 trial in Australia — modest progress for a company founded in 2021 [1]. The fibroblast cell therapy platform is scientifically novel but unproven commercially. AI Deployment (0/2): No evidence of AI-powered products or AI-driven cost savings; the company uses conventional drug development methods [2]. Market Share (2/2): FibroBiologics positions itself as the 'world leader in fibroblast cell therapy' with 270+ issued and pending patents across multiple indications, creating a first-mover position in an emerging therapeutic modality with no direct competitors [1][2]. Pipeline (1/2): Multiple programs with stated 2026 milestones — CYWC628 Phase 1/2 dosing, CYPS317 IND clearance, and CYMS101 IND submission — but all are early-stage with significant execution risk [1]. R&amp;D Intensity (0/1): R&amp;D spending of $7.4M in 2025 is appropriate for a 15-person micro-cap but below industry average in absolute terms, and the company's $4.9M cash position creates severe resource constraints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Pete O'Heeron's personal experience with chronic disease shaped FibroBiologics' mission to develop 'groundbreaking therapies that address the root causes of disease' rather than merely treating symptoms [2]. This is specific, intentional, and connects the company's work to a larger purpose of fundamentally changing how chronic diseases are treated. Community Impact (1/2): The company's focus on underserved chronic conditions (MS, psoriasis, wound healing) represents meaningful potential patient impact, though actual community programs are limited given the company's micro-cap stage [1]. Employee Retention (0/2): No public data on employee tenure or culture metrics for this 15-person company. Insider Buying (1/2): O'Heeron as founder-CEO has significant equity exposure and his shareholder letters demonstrate personal conviction in the company's mission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(343,363) × stock_price ($1.56) = $535,646, which is below the $1,000,000 minimum threshold [4]. Infrastructure score is automatically set to 0 regardless of other metrics. For context, FibroBiologics has a $7.1M market cap, zero revenue, $4.9M cash against a $16.4M annual operating cash burn, negative ROE of -419%, and a net loss of $18.6M in 2025 [3]. The company faces imminent dilution risk as cash runway is critically short — the $4.9M cash position funds only approximately 3-4 months of operations at the current burn 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FibroBiologics under founder-CEO Pete O'Heeron shows some infinite game qualities — the personal mission driven by chronic disease experience and focus on root-cause cures rather than symptom management suggests genuine purpose. However, the company's micro-cap status, critically short cash runway, and constant need for capital raises create finite survival pressures that dominate strategic decision-making.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O'Heeron's personal experience with chronic disease creating a company focused on 'curing rather than treating' chronic conditions represents a genuine Just Cause — it's specific, patient-oriented, and differentiated from peers who develop incremental therapies [2]. The fibroblast platform approach reflects conviction in a novel biological paradigm. However, the cause has not been tested through market cycles or leadership transitions given the company's young history (founded 2021), and it remains aspirational rather than proven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15 employees, FibroBiologics is too small to evaluate organizational trust dynamics meaningfully. The team includes founder-CEO O'Heeron, CSO Dr. Hamid Khoja, and recently appointed General Counsel Ruben Garcia, but there is no public data on culture, retention, or psychological safety [2]. The micro-cap stage and cash constraints create inherent instability that makes building trusting teams difficult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FibroBiologics positions itself as the 'world leader' in fibroblast cell therapy with no direct competitors acknowledged [2]. While the company does operate in a novel niche, the absence of competitive framing around learning from established cell therapy leaders (Vertex, bluebird bio, BMS) suggests a finite competitive mindset focused on claiming territory rather than improving through rivalry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FibroBiologics was founded in 2021 and has not yet faced the test of strategic adaptation. The company is pursuing its original fibroblast therapy thesis and has not needed to pivot. The multi-indication approach (MS, wound healing, psoriasis, cancer, longevity) shows breadth of ambition but not evidence of existential flexibility under pressure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O'Heeron's decision to pursue an entirely novel therapeutic modality — fibroblast cell therapy — rather than following established drug development paradigms shows entrepreneurial courage [2]. Building a company around an unproven biological platform with 270+ patents when conventional approaches would be safer represents genuine risk-taking in service of the cause. However, the courage is untested by the kind of adverse conditions that truly validate leadership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FibroBiologics occupies a unique position as the only public company focused exclusively on fibroblast cell therapy, with 270+ patents creating potential first-mover advantage in a novel therapeutic modality [1]. The pipeline targets large chronic disease markets — multiple sclerosis ($28B), psoriasis ($20B+), wound healing — with multiple 2026 catalysts including CYWC628 Phase 1/2 dosing in Australia, CYPS317 psoriasis IND clearance, and CYMS101 MS IND submission [1]. CEO O'Heeron's founder-led conviction and the platform's broad applicability across indications create optionality if early clinical data validates the fibroblast approach.</w:t>
      </w:r>
    </w:p>
    <w:p>
      <w:pPr>
        <w:spacing w:after="120"/>
      </w:pPr>
      <w:r>
        <w:rPr>
          <w:rFonts w:ascii="Calibri" w:hAnsi="Calibri"/>
          <w:b w:val="0"/>
          <w:color w:val="3A4A28"/>
          <w:sz w:val="20"/>
        </w:rPr>
        <w:t>The bear case is severe and existential. FibroBiologics has a $7.1M market cap, zero revenue, 15 employees, and only $4.9M in cash against a $16.4M annual cash burn — implying approximately 3-4 months of runway without additional financing [3]. The stock trades at $1.56 (near penny stock territory) with daily trading volume of just $536K, failing the IOWN liquidity floor. The fibroblast cell therapy platform is scientifically unproven with no Phase 2 or Phase 3 data demonstrating efficacy. Severe dilution risk is near-certain as the company must raise capital imminently to survive. The 15-person team is critically understaffed for advancing multiple clinical programs simultaneously. Nasdaq compliance concerns (recently resolved but under monitoring) add delisting risk [3]. This is a speculative micro-cap with existential financing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CYWC628 Phase 1/2 trial dosing in Australia with interim results expected H1 2026, providing first clinical validation of the fibroblast wound healing platform [1]</w:t>
      </w:r>
    </w:p>
    <w:p>
      <w:pPr>
        <w:spacing w:before="40" w:after="40"/>
        <w:ind w:left="283"/>
      </w:pPr>
      <w:r>
        <w:rPr>
          <w:rFonts w:ascii="Calibri" w:hAnsi="Calibri"/>
          <w:b/>
          <w:color w:val="4A6B25"/>
          <w:sz w:val="20"/>
        </w:rPr>
        <w:t xml:space="preserve">2. </w:t>
      </w:r>
      <w:r>
        <w:rPr>
          <w:rFonts w:ascii="Calibri" w:hAnsi="Calibri"/>
          <w:b w:val="0"/>
          <w:color w:val="3A4A28"/>
          <w:sz w:val="20"/>
        </w:rPr>
        <w:t>CYPS317 psoriasis IND clearance and CYMS101 multiple sclerosis IND submission planned H1 2026, expanding the clinical pipeline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licensing deal leveraging the 270+ patent portfolio to provide non-dilutive funding and validation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crisis — $4.9M cash vs. $16.4M annual burn rate implies ~3-4 months of runway; imminent dilutive financing will severely compress equity value [3]</w:t>
      </w:r>
    </w:p>
    <w:p>
      <w:pPr>
        <w:spacing w:before="40" w:after="40"/>
        <w:ind w:left="283"/>
      </w:pPr>
      <w:r>
        <w:rPr>
          <w:rFonts w:ascii="Calibri" w:hAnsi="Calibri"/>
          <w:b/>
          <w:color w:val="4A6B25"/>
          <w:sz w:val="20"/>
        </w:rPr>
        <w:t xml:space="preserve">2. </w:t>
      </w:r>
      <w:r>
        <w:rPr>
          <w:rFonts w:ascii="Calibri" w:hAnsi="Calibri"/>
          <w:b w:val="0"/>
          <w:color w:val="3A4A28"/>
          <w:sz w:val="20"/>
        </w:rPr>
        <w:t>Liquidity risk — $536K average daily trading value makes the stock nearly untradeable for institutional investors and fails the IOWN $1M liquidity floor [4]</w:t>
      </w:r>
    </w:p>
    <w:p>
      <w:pPr>
        <w:spacing w:before="40" w:after="40"/>
        <w:ind w:left="283"/>
      </w:pPr>
      <w:r>
        <w:rPr>
          <w:rFonts w:ascii="Calibri" w:hAnsi="Calibri"/>
          <w:b/>
          <w:color w:val="4A6B25"/>
          <w:sz w:val="20"/>
        </w:rPr>
        <w:t xml:space="preserve">3. </w:t>
      </w:r>
      <w:r>
        <w:rPr>
          <w:rFonts w:ascii="Calibri" w:hAnsi="Calibri"/>
          <w:b w:val="0"/>
          <w:color w:val="3A4A28"/>
          <w:sz w:val="20"/>
        </w:rPr>
        <w:t>Platform validation risk — fibroblast cell therapy is entirely unproven beyond Phase 1; no Phase 2/3 efficacy data exists for any indication in the pipeline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FibroBiologics operates in cell therapy development — a deeply physical, biological domain requiring wet-lab research, cell manufacturing, clinical trials, and FDA regulatory processes that AI cannot substitute [1]. The company's proprietary fibroblast isolation and culture methods, patent portfolio (270+ patents), and clinical trial infrastructure are physical-world assets entirely immune to AI disruption. Cell therapy manufacturing and quality control require hands-on biological processes that remain beyond AI capability. AI Opportunity (0/1): No evidence of AI-generated revenue or AI-powered products; the company uses conventional cell biology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FibroBiologics Full Year 2025 Financial Results and Corporate Update — $18.6M net loss, $4.9M cash, 2026 pipeline milestones, February 2026</w:t>
      </w:r>
    </w:p>
    <w:p>
      <w:pPr>
        <w:spacing w:before="20" w:after="20"/>
        <w:ind w:left="170"/>
      </w:pPr>
      <w:r>
        <w:rPr>
          <w:rFonts w:ascii="Calibri" w:hAnsi="Calibri"/>
          <w:b/>
          <w:color w:val="4A6B25"/>
          <w:sz w:val="15"/>
        </w:rPr>
        <w:t xml:space="preserve">2. </w:t>
      </w:r>
      <w:r>
        <w:rPr>
          <w:rFonts w:ascii="Calibri" w:hAnsi="Calibri"/>
          <w:b w:val="0"/>
          <w:color w:val="3A4A28"/>
          <w:sz w:val="17"/>
        </w:rPr>
        <w:t>FibroBiologics Corporate Website and InnovationMap Houston — CEO Pete O'Heeron background, 270+ patents, mission and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FibroBiologics SEC Filings — Cash position, burn rate, Nasdaq compliance,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FBLG (FibroBiologics),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