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FBP</w:t>
      </w:r>
      <w:r>
        <w:rPr>
          <w:rFonts w:ascii="Calibri" w:hAnsi="Calibri"/>
          <w:b/>
          <w:color w:val="1A2010"/>
          <w:sz w:val="40"/>
        </w:rPr>
        <w:t xml:space="preserve">  First BanCorp.</w:t>
      </w:r>
    </w:p>
    <w:p>
      <w:pPr>
        <w:spacing w:after="120"/>
      </w:pPr>
      <w:r>
        <w:rPr>
          <w:rFonts w:ascii="Calibri" w:hAnsi="Calibri"/>
          <w:b/>
          <w:color w:val="6E8450"/>
          <w:sz w:val="18"/>
        </w:rPr>
        <w:t>DIVIDEND SLEEVE · 2026-04-27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BanCorp is the bank holding company for FirstBank Puerto Rico, providing consumer, commercial, mortgage, and treasury banking services across Puerto Rico, the U.S. Virgin Islands, and Florida. Founded in 1948 and headquartered in San Juan, it operates through six segments including mortgage banking, retail, commercial, treasury, U.S. operations, and Virgin Islands operations.</w:t>
      </w:r>
    </w:p>
    <w:p>
      <w:r>
        <w:rPr>
          <w:rFonts w:ascii="Calibri" w:hAnsi="Calibri"/>
          <w:b/>
          <w:color w:val="6E8450"/>
          <w:sz w:val="18"/>
        </w:rPr>
        <w:t>3,218 Employees · https://www.1firstbank.com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BanCorp delivered Q1 2026 net income of $88.8M, up 21% YoY, with pretax pre-provision income reaching an all-time high of $131M [1][2]. Revenue grew 4.2% YoY, and the 5-year revenue CAGR of 6% is modest but steady for a regional bank. AI Deployment (0/2): No evidence of AI integration in banking operations, digital lending, or customer service; the company's strategic reorganization focused on succession planning and operational efficiency rather than technology transformation [3]. Market Share (1/2): FirstBank is the largest locally headquartered bank in Puerto Rico with a strong presence across the island and expanding in Florida, though it remains a small player nationally [1]. Pipeline (1/2): Loan growth guidance of 3-5% for 2026 and NIM expansion of 2-3 bps per quarter suggest steady but unexciting growth; commercial pipeline strength in Puerto Rico and Florida provides some visibility [2]. R&amp;D Intensity (1/1): Banking R&amp;D equivalent through digital banking and product development is present but not a differentiator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FirstBank plays a vital economic role in Puerto Rico, providing banking access in a market with limited financial infrastructure alternatives; the inaugural ESG report demonstrates commitment to responsible banking practices [4][5]. Community Impact (1/2): With 3,218 employees in Puerto Rico and the USVI, FirstBank is a significant employer in the Caribbean territory, and the ESG report highlights community engagement and financial inclusion efforts [5]. Employee Retention (0/2): No Glassdoor data found; the strategic reorganization aligned with succession planning suggests structured internal development but limited external culture validation [3]. Insider Buying (1/2): CEO Aurelio Aleman has led the company through post-hurricane recovery and pandemic challenges, and the 33.5% dividend payout ratio shows balanced capital allocation between shareholders and reinvestment [1][6].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BanCorp presents a strong financial profile for a regional bank. Trailing P/E of 10.9x and forward P/E of 9.9x represent a discount to the banking sector average, with earnings growth of 21.3% YoY significantly exceeding valuation [1][6]. ROE of 19.0% is excellent for a bank, and profit margin of 38.2% reflects efficient operations with operating margins of 47.8% [6]. Revenue growth of 8.1% YoY with pretax pre-provision income at all-time highs shows momentum [1][2]. Price-to-book of 1.85x is reasonable given the ROE. Dividend yield of 3.25% with a conservative 33.5% payout ratio provides income with room for growth; the 5-year avg yield of 3.13% confirms sustained dividend history [6]. PEG ratio of 4.15 is elevated, but the low absolute P/E mitigates valuation concern. Liquidity floor easily cleared: 1.5M avg vol × $23.41 = $35.2M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BanCorp demonstrates elements of infinite thinking through its 78-year operating history, deliberate succession planning, and commitment to Puerto Rico's economic development. The strategic reorganization announced in 2025 suggests long-term structural thinking, though the company's growth profile remains conservative.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banking access and financial services to Puerto Rico — a market historically underserved by mainland banks — represents a genuine just cause that has sustained the institution since 1948 [1][5]. The inaugural ESG report and community engagement programs reinforce the mission beyond pure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reorganization aligned with succession planning suggests structured internal talent development, which is a hallmark of trusting teams [3]. However, no Glassdoor data or employee sentiment metrics are available, and the reorganization itself may create uncertainty among staff about future roles and reporting structures.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FirstBank competes against Popular Inc. (BPOP), the dominant Puerto Rico bank, as well as mainland institutions expanding into the territory. This rivalry drives service quality and product innovation in a concentrated market [1]. The Florida expansion shows awareness of geographic diversification needs.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BanCorp has navigated Hurricane Maria recovery, the pandemic, and Puerto Rico's fiscal crisis, demonstrating resilience and adaptability [1]. The Florida expansion and strategic reorganization reflect an evolving strategy, though the core business model has remained largely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commitment to Puerto Rico through natural disasters, fiscal crises, and population decline requires leadership conviction [1]. The succession planning-driven reorganization shows forward-looking governance, and the conservative 33.5% payout ratio prioritizes reinvestment over short-term shareholder appeasement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BanCorp is a well-managed Puerto Rico-headquartered regional bank trading at an attractive 9.9x forward P/E with 19% ROE and 3.25% dividend yield [1][6]. Q1 2026 demonstrated strong execution: net income grew 21% YoY to $88.8M, pretax pre-provision income hit an all-time record of $131M, and management reiterated 3-5% loan growth guidance with NIM expansion of 2-3 bps per quarter [1][2]. The bank benefits from a geographic moat in Puerto Rico, where limited competition and regulatory barriers create sticky customer relationships. At 1.85x book value with earnings growth exceeding valuation, FBP offers a value proposition for income-oriented investors seeking Caribbean banking exposure.</w:t>
      </w:r>
    </w:p>
    <w:p>
      <w:pPr>
        <w:spacing w:after="120"/>
      </w:pPr>
      <w:r>
        <w:rPr>
          <w:rFonts w:ascii="Calibri" w:hAnsi="Calibri"/>
          <w:b w:val="0"/>
          <w:color w:val="3A4A28"/>
          <w:sz w:val="20"/>
        </w:rPr>
        <w:t>The bear case centers on geographic concentration and structural growth limitations. Puerto Rico's population has declined roughly 12% since 2010, creating a shrinking domestic market that caps organic growth potential [1]. The island's ongoing fiscal crisis and PROMESA oversight board create macroeconomic uncertainty. The 5-year revenue CAGR of just 6% and PEG ratio of 4.15 suggest the stock may be fairly valued despite the low absolute P/E [6]. Florida expansion provides diversification but puts FirstBank in direct competition with much larger mainland banks. The lack of visible AI or digital transformation investment creates operational efficiency risk as fintech competitors deploy automated lending and servicing platforms. Interest rate sensitivity remains elevated — NIM compression in a falling rate environment could reverse recent earnings momentum [2]. No D/E ratio is available from yfinance, limiting full balance sheet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NIM expansion of 2-3 bps per quarter through 2026, building on all-time high pretax pre-provision income of $131M [2]</w:t>
      </w:r>
    </w:p>
    <w:p>
      <w:pPr>
        <w:spacing w:before="40" w:after="40"/>
        <w:ind w:left="283"/>
      </w:pPr>
      <w:r>
        <w:rPr>
          <w:rFonts w:ascii="Calibri" w:hAnsi="Calibri"/>
          <w:b/>
          <w:color w:val="4A6B25"/>
          <w:sz w:val="20"/>
        </w:rPr>
        <w:t xml:space="preserve">2. </w:t>
      </w:r>
      <w:r>
        <w:rPr>
          <w:rFonts w:ascii="Calibri" w:hAnsi="Calibri"/>
          <w:b w:val="0"/>
          <w:color w:val="3A4A28"/>
          <w:sz w:val="20"/>
        </w:rPr>
        <w:t>Florida market expansion providing geographic diversification beyond Puerto Rico's shrinking population base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given the conservative 33.5% payout ratio and 21% earnings growth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Puerto Rico population decline and fiscal crisis create a structurally shrinking domestic market, capping long-term organic growth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NIM expansion guidance assumes a favorable rate environment; a policy shift could compress net interest income [2]</w:t>
      </w:r>
    </w:p>
    <w:p>
      <w:pPr>
        <w:spacing w:before="40" w:after="40"/>
        <w:ind w:left="283"/>
      </w:pPr>
      <w:r>
        <w:rPr>
          <w:rFonts w:ascii="Calibri" w:hAnsi="Calibri"/>
          <w:b/>
          <w:color w:val="4A6B25"/>
          <w:sz w:val="20"/>
        </w:rPr>
        <w:t xml:space="preserve">3. </w:t>
      </w:r>
      <w:r>
        <w:rPr>
          <w:rFonts w:ascii="Calibri" w:hAnsi="Calibri"/>
          <w:b w:val="0"/>
          <w:color w:val="3A4A28"/>
          <w:sz w:val="20"/>
        </w:rPr>
        <w:t>Fintech and AI-driven lending disruption threatening traditional banking economics, with no visible digital transformation investments to counter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Regional banking faces moderate AI disruption. Fintech lenders and AI-powered underwriting platforms (e.g., Upstart, SoFi) threaten traditional lending economics, but FirstBank's geographic moat in Puerto Rico — where regulatory barriers and local relationships create switching costs — provides insulation [1]. Consumer banking commoditization risk is real as AI chatbots and robo-advisors reduce the value of branch-based service. However, mortgage origination, commercial lending relationships, and treasury services retain human-judgment advantages that resist full AI automation. AI Opportunity (1/1): AI-driven credit scoring, fraud detection, and operational efficiency represent meaningful cost reduction opportunities for a 3,218-employee bank if adopted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BanCorp Q1 2026 Earnings Release — $88.8M net income (+21% YoY), $131M pretax pre-provision income (all-time high), April 2026</w:t>
      </w:r>
    </w:p>
    <w:p>
      <w:pPr>
        <w:spacing w:before="20" w:after="20"/>
        <w:ind w:left="170"/>
      </w:pPr>
      <w:r>
        <w:rPr>
          <w:rFonts w:ascii="Calibri" w:hAnsi="Calibri"/>
          <w:b/>
          <w:color w:val="4A6B25"/>
          <w:sz w:val="15"/>
        </w:rPr>
        <w:t xml:space="preserve">2. </w:t>
      </w:r>
      <w:r>
        <w:rPr>
          <w:rFonts w:ascii="Calibri" w:hAnsi="Calibri"/>
          <w:b w:val="0"/>
          <w:color w:val="3A4A28"/>
          <w:sz w:val="17"/>
        </w:rPr>
        <w:t>First BanCorp Q1 2026 Earnings Call Summary — 3-5% loan growth guidance, NIM expansion 2-3 bps/quarter, Yahoo Finance / Motley Fool, April 2026</w:t>
      </w:r>
    </w:p>
    <w:p>
      <w:pPr>
        <w:spacing w:before="20" w:after="20"/>
        <w:ind w:left="170"/>
      </w:pPr>
      <w:r>
        <w:rPr>
          <w:rFonts w:ascii="Calibri" w:hAnsi="Calibri"/>
          <w:b/>
          <w:color w:val="4A6B25"/>
          <w:sz w:val="15"/>
        </w:rPr>
        <w:t xml:space="preserve">3. </w:t>
      </w:r>
      <w:r>
        <w:rPr>
          <w:rFonts w:ascii="Calibri" w:hAnsi="Calibri"/>
          <w:b w:val="0"/>
          <w:color w:val="3A4A28"/>
          <w:sz w:val="17"/>
        </w:rPr>
        <w:t>First BanCorp Strategic Reorganization Announcement — succession planning and operational efficiency, fbpinvestor.com, 2025</w:t>
      </w:r>
    </w:p>
    <w:p>
      <w:pPr>
        <w:spacing w:before="20" w:after="20"/>
        <w:ind w:left="170"/>
      </w:pPr>
      <w:r>
        <w:rPr>
          <w:rFonts w:ascii="Calibri" w:hAnsi="Calibri"/>
          <w:b/>
          <w:color w:val="4A6B25"/>
          <w:sz w:val="15"/>
        </w:rPr>
        <w:t xml:space="preserve">4. </w:t>
      </w:r>
      <w:r>
        <w:rPr>
          <w:rFonts w:ascii="Calibri" w:hAnsi="Calibri"/>
          <w:b w:val="0"/>
          <w:color w:val="3A4A28"/>
          <w:sz w:val="17"/>
        </w:rPr>
        <w:t>First BanCorp Inaugural ESG Report — governance, community engagement, environmental stewardship, 2022</w:t>
      </w:r>
    </w:p>
    <w:p>
      <w:pPr>
        <w:spacing w:before="20" w:after="20"/>
        <w:ind w:left="170"/>
      </w:pPr>
      <w:r>
        <w:rPr>
          <w:rFonts w:ascii="Calibri" w:hAnsi="Calibri"/>
          <w:b/>
          <w:color w:val="4A6B25"/>
          <w:sz w:val="15"/>
        </w:rPr>
        <w:t xml:space="preserve">5. </w:t>
      </w:r>
      <w:r>
        <w:rPr>
          <w:rFonts w:ascii="Calibri" w:hAnsi="Calibri"/>
          <w:b w:val="0"/>
          <w:color w:val="3A4A28"/>
          <w:sz w:val="17"/>
        </w:rPr>
        <w:t>First BanCorp Corporate Website — company overview, segments, leadership team,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FBP (First BanCorp),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