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FBRT</w:t>
      </w:r>
      <w:r>
        <w:rPr>
          <w:rFonts w:ascii="Calibri" w:hAnsi="Calibri"/>
          <w:b/>
          <w:color w:val="1A2010"/>
          <w:sz w:val="40"/>
        </w:rPr>
        <w:t xml:space="preserve">  Franklin BSP Realty Trust, Inc.</w:t>
      </w:r>
    </w:p>
    <w:p>
      <w:pPr>
        <w:spacing w:after="120"/>
      </w:pPr>
      <w:r>
        <w:rPr>
          <w:rFonts w:ascii="Calibri" w:hAnsi="Calibri"/>
          <w:b/>
          <w:color w:val="6E8450"/>
          <w:sz w:val="18"/>
        </w:rPr>
        <w:t>GROWTH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Franklin BSP Realty Trust is a commercial real estate finance company that originates, acquires, and manages a diversified portfolio of CRE debt investments including first mortgages, subordinate mortgages, mezzanine loans, and agency loans. The company operates through Real Estate Debt, Agency, CRE Conduit, and Real Estate Owned segments. Externally managed by Benefit Street Partners (a Franklin Templeton subsidiary), FBRT held approximately $4.6 billion in core portfolio assets as of Q1 2026.</w:t>
      </w:r>
    </w:p>
    <w:p>
      <w:r>
        <w:rPr>
          <w:rFonts w:ascii="Calibri" w:hAnsi="Calibri"/>
          <w:b/>
          <w:color w:val="6E8450"/>
          <w:sz w:val="18"/>
        </w:rPr>
        <w:t>243 Employees · https://www.fbrtreit.com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FBRT has grown its core portfolio to approximately $4.6 billion and diversified across CRE debt, agency, and conduit businesses, with Q1 2026 revenue of $74.4M up 43% YoY [1]. The acquisition of NewPoint Real Estate Capital added agency lending capability. However, these are incremental extensions of the same CRE lending model, not transformative innovation. AI Deployment (0/2): No evidence of AI-powered underwriting tools, automated loan origination, or AI-driven portfolio management in any public filings or earnings commentary. Market Share (0/2): FBRT is a mid-sized participant in the highly fragmented CRE lending market with a $715M market cap; it does not hold category-leading share or demonstrate share gains. Pipeline (1/2): Management expects earnings benefits in 2026 from a larger core portfolio, with $468M of new loan commitments in Q1 2026 plus future funding commitments [1]. R&amp;D Intensity (0/1): Not applicable — financial services REITs do not have traditional R&amp;D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FBRT's stated purpose is to 'originate, acquire, and manage a diversified portfolio of commercial real estate debt investments' — a functional description of business operations, not a mission that inspires or articulates a deeper purpose. This is interchangeable with any mortgage REIT. Community Impact (0/2): No evidence of charitable programs, foundation, or community investment beyond basic corporate philanthropy. The company publishes a sustainability overview on its website but no specific programs or dollar amounts are cited [3]. Employee Retention (0/2): With only 243 employees as an externally managed REIT, there is insufficient retention data available. Insider Buying (0/2): No evidence of meaningful net insider buying. The recent leadership transition (CEO Richard Byrne stepping down, Michael Comparato appointed) does not include insider purchase signals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FBRT's infrastructure metrics show a mixed but improving profile. Forward P/E of 7.7x is attractively valued for a mortgage REIT, and profit margins of 24.6% demonstrate adequate profitability [1]. Revenue of $501M in 2025 grew at an estimated 10.9% 5-year CAGR, driven by portfolio expansion from $367M in 2022 [4]. However, D/E of 292.7% is extremely high even for a mortgage REIT that uses leverage as a core business model — this is near the floor of 300%. ROE of 4.6% is below the 15% target, reflecting the impact of rising credit losses and the dividend cut. The company recently reduced its quarterly dividend from $0.355 to $0.20 per share (a 44% cut), triggered by a securities fraud lawsuit alleging overstated earnings projections supporting the prior dividend level [3]. Q1 2026 distributable earnings of $0.09/share barely cover the reduced $0.20 quarterly dividend. Liquidity floor passes: 1.1M avg volume x $9.29 = $10.2M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Franklin BSP Realty Trust is a quintessential finite player — an externally managed mortgage REIT whose purpose is to generate levered returns on CRE debt for shareholders. The recent dividend cut, securities fraud lawsuit, and CEO transition all signal an organization optimizing for near-term financial outcomes rather than playing to endure. There is no Just Cause, no evidence of courageous leadership, and no strategic vision beyond portfolio management.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FBRT has no Just Cause. The company exists to generate returns from CRE debt — a legitimate financial activity but one that articulates no vision of a better future. As an externally managed REIT, strategic decisions are made by Benefit Street Partners (Franklin Templeton subsidiary), further distancing the entity from any purpose beyond capital allocation. There is no mission statement that inspires sacrifice or differentiates FBRT from hundreds of other mortgage REITs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243 employees operating under the Franklin Templeton umbrella, FBRT functions as a lean organization. No negative cultural signals (no Glassdoor complaints, no layoff cycles) but also no evidence of exceptional trust or empowerment. The externally managed structure means key investment decisions are made by BSP, which may limit employee agency. The recent leadership transition (CEO Byrne stepping down, Comparato appointed) was orderly, with Byrne remaining as Chairman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improvement-oriented competitive mindset. FBRT's earnings calls and investor communications focus on portfolio metrics, leverage ratios, and dividend coverage — standard financial reporting without reference to learning from competitors or using competitive pressure for self-improvement. The CRE lending space is highly fragmented with no clear worthy rival dynamic.</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strategic transformation or business model pivot. FBRT has operated the same CRE debt investment model since inception in 2012. The addition of the agency business (NewPoint) and conduit operations represent incremental product extensions, not existential flexibility. The company has not demonstrated willingness to abandon profitable but misaligned business lines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The 44% dividend cut from $0.355 to $0.20 per share was a reactive decision forced by unsustainable payout ratios and a securities fraud lawsuit alleging overstated earnings projections [3]. CEO Richard Byrne's resignation and replacement by Michael Comparato in February 2026 occurred amid this turmoil. These are crisis responses, not examples of leadership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Franklin BSP Realty Trust offers deep value characteristics with a forward P/E of 7.7x and an 8.6% dividend yield following the reset to $0.20/quarter. The core CRE debt portfolio of $4.6 billion generates steady interest income, and Q1 2026 revenue of $74.4M beat estimates by 1.8% with 43% YoY growth [1]. The 5-year revenue CAGR of ~10.9% demonstrates consistent portfolio expansion under the Franklin Templeton/BSP management platform. New CEO Michael Comparato brings deep CRE experience, and the company expects earnings benefits from a larger core portfolio and more stable NewPoint contributions in 2026 [1][2]. At $9.29/share, the stock trades at a significant discount to book value for a portfolio of predominantly first-mortgage loans.</w:t>
      </w:r>
    </w:p>
    <w:p>
      <w:pPr>
        <w:spacing w:after="120"/>
      </w:pPr>
      <w:r>
        <w:rPr>
          <w:rFonts w:ascii="Calibri" w:hAnsi="Calibri"/>
          <w:b w:val="0"/>
          <w:color w:val="3A4A28"/>
          <w:sz w:val="20"/>
        </w:rPr>
        <w:t>The bear case centers on credibility damage and leverage risk. The 44% dividend cut from $0.355 to $0.20 and the pending securities fraud class action lawsuit alleging overstated earnings projections have destroyed investor trust [3]. D/E of 292.7% is near the distress threshold even for a leveraged REIT, and ROE of 4.6% suggests the leverage is not generating adequate returns. Q1 2026 distributable earnings of $0.09/share annualize to $0.36 — barely covering the reduced $0.80 annual dividend, raising the specter of a second cut. The CRE market faces macro headwinds from elevated interest rates, office vacancy concerns, and potential recession risk. As an externally managed REIT, FBRT pays management fees to BSP that create a structural conflict of interest — management is incentivized to grow AUM rather than optimize returns for shareholders. The CEO transition mid-crisis adds execution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portfolio growth beyond $4.6B with $468M in new Q1 2026 commitments, driving distributable earnings toward sustainable dividend coverage [1]</w:t>
      </w:r>
    </w:p>
    <w:p>
      <w:pPr>
        <w:spacing w:before="40" w:after="40"/>
        <w:ind w:left="283"/>
      </w:pPr>
      <w:r>
        <w:rPr>
          <w:rFonts w:ascii="Calibri" w:hAnsi="Calibri"/>
          <w:b/>
          <w:color w:val="4A6B25"/>
          <w:sz w:val="20"/>
        </w:rPr>
        <w:t xml:space="preserve">2. </w:t>
      </w:r>
      <w:r>
        <w:rPr>
          <w:rFonts w:ascii="Calibri" w:hAnsi="Calibri"/>
          <w:b w:val="0"/>
          <w:color w:val="3A4A28"/>
          <w:sz w:val="20"/>
        </w:rPr>
        <w:t>New CEO Michael Comparato stabilizing operations and rebuilding investor confidence after the dividend cut and securities lawsuit [2]</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normalization improving CRE transaction volumes and reducing credit stress across the loan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lawsuit (Nov 2024 - Feb 2026 class period) alleging false or misleading statements about dividend sustainability creates legal liability and ongoing reputational damage [3]</w:t>
      </w:r>
    </w:p>
    <w:p>
      <w:pPr>
        <w:spacing w:before="40" w:after="40"/>
        <w:ind w:left="283"/>
      </w:pPr>
      <w:r>
        <w:rPr>
          <w:rFonts w:ascii="Calibri" w:hAnsi="Calibri"/>
          <w:b/>
          <w:color w:val="4A6B25"/>
          <w:sz w:val="20"/>
        </w:rPr>
        <w:t xml:space="preserve">2. </w:t>
      </w:r>
      <w:r>
        <w:rPr>
          <w:rFonts w:ascii="Calibri" w:hAnsi="Calibri"/>
          <w:b w:val="0"/>
          <w:color w:val="3A4A28"/>
          <w:sz w:val="20"/>
        </w:rPr>
        <w:t>D/E of 292.7% leaves minimal margin of safety — rising defaults or credit losses on the $4.6B CRE portfolio could force additional dividend cuts or equity dilution [4]</w:t>
      </w:r>
    </w:p>
    <w:p>
      <w:pPr>
        <w:spacing w:before="40" w:after="40"/>
        <w:ind w:left="283"/>
      </w:pPr>
      <w:r>
        <w:rPr>
          <w:rFonts w:ascii="Calibri" w:hAnsi="Calibri"/>
          <w:b/>
          <w:color w:val="4A6B25"/>
          <w:sz w:val="20"/>
        </w:rPr>
        <w:t xml:space="preserve">3. </w:t>
      </w:r>
      <w:r>
        <w:rPr>
          <w:rFonts w:ascii="Calibri" w:hAnsi="Calibri"/>
          <w:b w:val="0"/>
          <w:color w:val="3A4A28"/>
          <w:sz w:val="20"/>
        </w:rPr>
        <w:t>CRE market deterioration from sustained high interest rates and rising office vacancies could impair collateral values and increase loan-loss provisions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CRE lending is a relationship-driven, physically-collateralized business that AI cannot substitute. Loan origination requires property inspection, borrower relationship management, legal documentation, and regulatory compliance — activities with high human involvement and physical-world requirements. AI could improve underwriting speed and credit analysis but cannot replace the core business model. The agency business (government-sponsored enterprise programs) is further protected by regulatory frameworks. However, AI-powered fintech platforms could eventually compete on speed and pricing for standardized CRE loan products, creating modest competitive pressure. AI Opportunity (0/1): No evidence of AI-generated revenue. FBRT has not announced AI-powered underwriting tools or automated loan products in any public filings or earnings calls.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Franklin BSP Realty Trust Q1 2026 Earnings Call — $74.4M revenue, $4.6B core portfolio, $468M new commitments, April 2026</w:t>
      </w:r>
    </w:p>
    <w:p>
      <w:pPr>
        <w:spacing w:before="20" w:after="20"/>
        <w:ind w:left="170"/>
      </w:pPr>
      <w:r>
        <w:rPr>
          <w:rFonts w:ascii="Calibri" w:hAnsi="Calibri"/>
          <w:b/>
          <w:color w:val="4A6B25"/>
          <w:sz w:val="15"/>
        </w:rPr>
        <w:t xml:space="preserve">2. </w:t>
      </w:r>
      <w:r>
        <w:rPr>
          <w:rFonts w:ascii="Calibri" w:hAnsi="Calibri"/>
          <w:b w:val="0"/>
          <w:color w:val="3A4A28"/>
          <w:sz w:val="17"/>
        </w:rPr>
        <w:t>Business Wire / Franklin BSP Realty Trust — Leadership transition announcement, Michael Comparato CEO appointment,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MarketScreener — FBRT securities fraud lawsuit, dividend cut from $0.355 to $0.20, class period Nov 2024-Feb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FBRT financial data, dividend history, and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