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FCX</w:t>
      </w:r>
      <w:r>
        <w:rPr>
          <w:rFonts w:ascii="Calibri" w:hAnsi="Calibri"/>
          <w:b/>
          <w:color w:val="1A2010"/>
          <w:sz w:val="40"/>
        </w:rPr>
        <w:t xml:space="preserve">  Freeport-McMoRan Inc.</w:t>
      </w:r>
    </w:p>
    <w:p>
      <w:pPr>
        <w:spacing w:after="120"/>
      </w:pPr>
      <w:r>
        <w:rPr>
          <w:rFonts w:ascii="Calibri" w:hAnsi="Calibri"/>
          <w:b/>
          <w:color w:val="6E8450"/>
          <w:sz w:val="18"/>
        </w:rPr>
        <w:t>GROWTH SLEEVE · 2026-04-06 · Inspire: 39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Copper · NYSE · United States</w:t>
      </w:r>
    </w:p>
    <w:p>
      <w:pPr>
        <w:spacing w:after="80"/>
      </w:pPr>
      <w:r>
        <w:rPr>
          <w:rFonts w:ascii="Calibri" w:hAnsi="Calibri"/>
          <w:b w:val="0"/>
          <w:color w:val="3A4A28"/>
          <w:sz w:val="20"/>
        </w:rPr>
        <w:t>Freeport-McMoRan is the world's largest publicly traded copper producer, operating the massive Grasberg minerals district in Indonesia along with significant mining operations in the Americas (Arizona, New Mexico, Colorado, Peru, Chile). The company produces copper, gold, and molybdenum, supplying approximately 8.5% of the world's mined copper.</w:t>
      </w:r>
    </w:p>
    <w:p>
      <w:r>
        <w:rPr>
          <w:rFonts w:ascii="Calibri" w:hAnsi="Calibri"/>
          <w:b/>
          <w:color w:val="6E8450"/>
          <w:sz w:val="18"/>
        </w:rPr>
        <w:t>29,000 Employees · https://fcx.com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Freeport has executed a successful transition of Grasberg from open-pit to underground block-cave mining, one of the most complex engineering projects in mining history, while simultaneously expanding U.S. operations with Q4 2025 U.S. production up 5% YoY [1]. The company also deployed its Americas Concentrator AI program to unlock incremental copper production equivalent to a new processing facility [2]. AI Deployment (2/2): Freeport is an industry leader in AI-driven mining optimization, partnering with McKinsey to deploy machine learning across concentrator operations, achieving measurable increases in copper recovery rates and throughput [2]. Market Share (2/2): As the world's largest publicly traded copper producer supplying ~8.5% of global mined copper, Freeport holds a dominant position in a commodity essential to electrification and AI data center buildouts [1]. Pipeline (1/2): The Grasberg PB2/PB3 restart targets 85% restoration by H2 2026, with 2026 guidance calling for ~1 billion lbs/quarter copper run rate, though these are existing asset restarts rather than greenfield discoveries [1]. R&amp;D Intensity (0/1): Mining sector R&amp;D is modest; Freeport invests in operational technology but not at levels that distinguish it from peers on traditional R&amp;D metrics.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Freeport's sustainability strategy 'Accelerate the Future, Responsibly' is clear and connects copper mining to the energy transition and electrification, but it reads as a corporate sustainability tagline rather than a transformative purpose [3]. Community Impact (1/2): The company operates community development programs near mine sites and has invested in local infrastructure in Papua and the Americas, though the Grasberg operation's 50+ year history of environmental damage to the Ajikwa River ecosystem with 200,000+ tons/day of tailings creates significant controversy that undermines community impact claims [4]. Employee Retention (1/2): CEO Richard Adkerson's 20+ year tenure as the 'elder statesman of copper' provides leadership stability, and the company's 29,000 employees operate in a specialized workforce with generally stable retention in mining [2]. Insider Buying (1/2): Insider activity shows roughly balanced transactions; Adkerson maintains significant equity exposure but no standout net buying pattern in recent quarters.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Freeport's financial profile is strong for a cyclical commodity producer. D/E of 34.1% is exceptionally low for a capital-intensive miner, reflecting disciplined deleveraging to net debt of $2.3B [1]. Forward P/E of 16.1x is attractive given projected EBITDA growth to $12B in 2026 and $15.5B by 2027-2028 [1]. ROE of 13.9% is slightly below the 15% target but improving as Grasberg ramps and copper prices support margins. Revenue growth of -1.5% YoY in 2025 reflects Grasberg disruptions, but 5-year revenue CAGR of ~12.8% demonstrates the secular growth trajectory ($14.2B in 2020 to $25.9B in 2025). Profit margin of 8.5% is modest but typical for mining; operating cash flow of $5.6B in 2025 with $8B projected for 2026 shows significant cash generation capacity [1]. Liquidity floor easily cleared at $1.26B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Freeport under Adkerson's 20+ year leadership demonstrates meaningful infinite game qualities — the patient underground transition at Grasberg, the long-term bet on copper's role in electrification, and the AI-driven operational transformation all reflect a company playing to keep playing. However, the commodity nature of the business and historical environmental controversies at Grasberg temper the infinite game assessment.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Freeport's purpose of responsibly producing copper to enable the global energy transition is genuine and connects to a larger societal need — electrification, renewable energy, and AI infrastructure all require massive copper inputs [1][3]. However, the 50-year environmental record at Grasberg, including tailings disposal that violated Indonesian environmental laws, creates tension with the 'responsibly' component of this cause. The cause is partially lived, not yet fully validated. (2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Adkerson's 20+ year tenure provides exceptional leadership continuity, and the successful deployment of agile AI teams across mining operations required genuine cross-functional trust between operators, metallurgists, and data scientists [2]. The organizational culture adapted to embrace AI-driven decision-making, which required psychological safety for traditional miners to accept technology-driven changes. However, the mining industry generally operates with hierarchical structures. (1 point)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Freeport acknowledges competitors like BHP, Southern Copper, and Rio Tinto as worthy rivals whose adoption of similar AI and automation technologies pushes Freeport to improve [2]. Management frames competition as motivation to innovate rather than a zero-sum battle, recognizing that industry-wide technology adoption raises all boats while human capital differentiation determines who leads.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transition from open-pit to underground block-cave mining at Grasberg represents meaningful operational flexibility — Freeport fundamentally changed its extraction method at its most important asset to extend its life by decades [1]. The company also pivoted from oil &amp; gas (divesting those assets in 2016) back to pure-play copper/gold mining. These were incremental rather than transformative pivots, but they show willingness to adapt.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Freeport showed courage in committing billions to the Grasberg underground transition during a copper price downturn, investing $4.3-4.5B annually in capex for 2026-2027 to expand capacity [1]. The decision to divest oil &amp; gas assets and refocus entirely on copper when copper prices were depressed demonstrated conviction in the long-term copper thesis over short-term diversification.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Freeport-McMoRan is the world's premier pure-play copper producer at a time when copper demand is inflecting higher from three converging megatrends: AI data center buildouts, renewable energy infrastructure, and vehicle electrification. Q4 2025 results showed copper sales of 709M lbs with average realized prices of $5.33/lb (up 28% YoY), generating $5.6B operating cash flow for the full year [1]. The Grasberg underground restart targeting 85% restoration by H2 2026, combined with 2026 EBITDA guidance of $12B (vs. ~$9B in 2025), positions FCX for significant earnings acceleration with forward EPS of $3.79 vs. trailing $1.52 [1]. At 16.1x forward P/E with D/E of just 34%, the stock is attractively valued for a company with a clear multi-year production ramp and structural demand tailwinds.</w:t>
      </w:r>
    </w:p>
    <w:p>
      <w:pPr>
        <w:spacing w:after="120"/>
      </w:pPr>
      <w:r>
        <w:rPr>
          <w:rFonts w:ascii="Calibri" w:hAnsi="Calibri"/>
          <w:b w:val="0"/>
          <w:color w:val="3A4A28"/>
          <w:sz w:val="20"/>
        </w:rPr>
        <w:t>The bear case centers on copper price cyclicality and execution risk. FCX's profit margin of 8.5% and ROE of 13.9% are below targets, and a copper price decline from current $5.30+/lb levels would compress earnings significantly — at $3.50/lb copper, EBITDA would fall well below guidance. Revenue declined 1.5% YoY in 2025 despite higher copper prices, as Grasberg production disruptions offset price gains [1]. The Grasberg underground transition carries ongoing execution risk with PB2/PB3 restart timelines subject to geological and operational uncertainties. Indonesian regulatory and political risk remains elevated — the government holds 51% of PT Freeport Indonesia and has historically used regulatory leverage to extract concessions. The 50+ year environmental controversy at Grasberg, including tailings disposal that exceeded Indonesian legal limits by 94x, creates ongoing ESG and reputational risk [4]. Capex of $4.3-4.5B annually through 2027 consumes most free cash flow, limiting near-term shareholder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Grasberg PB2/PB3 restart reaching 85% capacity by H2 2026, driving copper production toward the ~1B lbs/quarter run rate target and EBITDA toward $12B [1]</w:t>
      </w:r>
    </w:p>
    <w:p>
      <w:pPr>
        <w:spacing w:before="40" w:after="40"/>
        <w:ind w:left="283"/>
      </w:pPr>
      <w:r>
        <w:rPr>
          <w:rFonts w:ascii="Calibri" w:hAnsi="Calibri"/>
          <w:b/>
          <w:color w:val="4A6B25"/>
          <w:sz w:val="20"/>
        </w:rPr>
        <w:t xml:space="preserve">2. </w:t>
      </w:r>
      <w:r>
        <w:rPr>
          <w:rFonts w:ascii="Calibri" w:hAnsi="Calibri"/>
          <w:b w:val="0"/>
          <w:color w:val="3A4A28"/>
          <w:sz w:val="20"/>
        </w:rPr>
        <w:t>Structural copper demand growth from AI data center construction, EV adoption, and grid electrification creating a sustained supply-demand deficit that supports $5+/lb copper prices [5]</w:t>
      </w:r>
    </w:p>
    <w:p>
      <w:pPr>
        <w:spacing w:before="40" w:after="40"/>
        <w:ind w:left="283"/>
      </w:pPr>
      <w:r>
        <w:rPr>
          <w:rFonts w:ascii="Calibri" w:hAnsi="Calibri"/>
          <w:b/>
          <w:color w:val="4A6B25"/>
          <w:sz w:val="20"/>
        </w:rPr>
        <w:t xml:space="preserve">3. </w:t>
      </w:r>
      <w:r>
        <w:rPr>
          <w:rFonts w:ascii="Calibri" w:hAnsi="Calibri"/>
          <w:b w:val="0"/>
          <w:color w:val="3A4A28"/>
          <w:sz w:val="20"/>
        </w:rPr>
        <w:t>U.S. copper operations expansion with Q4 2025 U.S. operating income at 3.5x the prior year level, positioning FCX to benefit from domestic reshoring and infrastructure investment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Copper price cyclicality — a return to $3.50/lb from current $5.30+ levels would slash EBITDA by 40%+ and render the growth capex program unsustainable [1]</w:t>
      </w:r>
    </w:p>
    <w:p>
      <w:pPr>
        <w:spacing w:before="40" w:after="40"/>
        <w:ind w:left="283"/>
      </w:pPr>
      <w:r>
        <w:rPr>
          <w:rFonts w:ascii="Calibri" w:hAnsi="Calibri"/>
          <w:b/>
          <w:color w:val="4A6B25"/>
          <w:sz w:val="20"/>
        </w:rPr>
        <w:t xml:space="preserve">2. </w:t>
      </w:r>
      <w:r>
        <w:rPr>
          <w:rFonts w:ascii="Calibri" w:hAnsi="Calibri"/>
          <w:b w:val="0"/>
          <w:color w:val="3A4A28"/>
          <w:sz w:val="20"/>
        </w:rPr>
        <w:t>Indonesian political and regulatory risk — the government's 51% ownership of PT Freeport Indonesia and history of using regulatory leverage creates ongoing uncertainty around export permits and tax treatment [4]</w:t>
      </w:r>
    </w:p>
    <w:p>
      <w:pPr>
        <w:spacing w:before="40" w:after="40"/>
        <w:ind w:left="283"/>
      </w:pPr>
      <w:r>
        <w:rPr>
          <w:rFonts w:ascii="Calibri" w:hAnsi="Calibri"/>
          <w:b/>
          <w:color w:val="4A6B25"/>
          <w:sz w:val="20"/>
        </w:rPr>
        <w:t xml:space="preserve">3. </w:t>
      </w:r>
      <w:r>
        <w:rPr>
          <w:rFonts w:ascii="Calibri" w:hAnsi="Calibri"/>
          <w:b w:val="0"/>
          <w:color w:val="3A4A28"/>
          <w:sz w:val="20"/>
        </w:rPr>
        <w:t>Environmental liability at Grasberg — 50+ years of tailings disposal into the Ajikwa River system, with documented violations of Indonesian environmental law, exposes FCX to future remediation costs and reputational damage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Freeport-McMoRan is structurally immune to AI disruption — copper mining involves physical extraction, processing, and logistics that AI cannot replace. More importantly, AI is a direct demand driver for Freeport's core product: each AI data center requires massive copper wiring for power distribution, cooling systems, and networking infrastructure [2]. CEO Adkerson has publicly stated that 'copper demand is driven by carbon reduction investments and AI,' positioning FCX as a primary beneficiary of the AI buildout [5]. The energy transition and electrification megatrends further insulate the business. AI Opportunity (1/1): Freeport generates measurable value from AI internally through its Americas Concentrator program, using machine learning to optimize copper recovery rates and processing throughput, effectively creating the equivalent of a new processing facility's output without capital expenditure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Freeport-McMoRan Q4 and Full Year 2025 Earnings Release, January 22, 2026 — $5.63B Q4 revenue, $5.6B full-year OCF, Grasberg restart guidance</w:t>
      </w:r>
    </w:p>
    <w:p>
      <w:pPr>
        <w:spacing w:before="20" w:after="20"/>
        <w:ind w:left="170"/>
      </w:pPr>
      <w:r>
        <w:rPr>
          <w:rFonts w:ascii="Calibri" w:hAnsi="Calibri"/>
          <w:b/>
          <w:color w:val="4A6B25"/>
          <w:sz w:val="15"/>
        </w:rPr>
        <w:t xml:space="preserve">2. </w:t>
      </w:r>
      <w:r>
        <w:rPr>
          <w:rFonts w:ascii="Calibri" w:hAnsi="Calibri"/>
          <w:b w:val="0"/>
          <w:color w:val="3A4A28"/>
          <w:sz w:val="17"/>
        </w:rPr>
        <w:t>McKinsey Digital — 'How Freeport is Leading AI in Mining' — Americas Concentrator AI program case study</w:t>
      </w:r>
    </w:p>
    <w:p>
      <w:pPr>
        <w:spacing w:before="20" w:after="20"/>
        <w:ind w:left="170"/>
      </w:pPr>
      <w:r>
        <w:rPr>
          <w:rFonts w:ascii="Calibri" w:hAnsi="Calibri"/>
          <w:b/>
          <w:color w:val="4A6B25"/>
          <w:sz w:val="15"/>
        </w:rPr>
        <w:t xml:space="preserve">3. </w:t>
      </w:r>
      <w:r>
        <w:rPr>
          <w:rFonts w:ascii="Calibri" w:hAnsi="Calibri"/>
          <w:b w:val="0"/>
          <w:color w:val="3A4A28"/>
          <w:sz w:val="17"/>
        </w:rPr>
        <w:t>Freeport-McMoRan Sustainability Report — 'Accelerate the Future, Responsibly' strategy and community programs</w:t>
      </w:r>
    </w:p>
    <w:p>
      <w:pPr>
        <w:spacing w:before="20" w:after="20"/>
        <w:ind w:left="170"/>
      </w:pPr>
      <w:r>
        <w:rPr>
          <w:rFonts w:ascii="Calibri" w:hAnsi="Calibri"/>
          <w:b/>
          <w:color w:val="4A6B25"/>
          <w:sz w:val="15"/>
        </w:rPr>
        <w:t xml:space="preserve">4. </w:t>
      </w:r>
      <w:r>
        <w:rPr>
          <w:rFonts w:ascii="Calibri" w:hAnsi="Calibri"/>
          <w:b w:val="0"/>
          <w:color w:val="3A4A28"/>
          <w:sz w:val="17"/>
        </w:rPr>
        <w:t>Corporate Accountability Lab / WWF — 'Fifty Years of Corporate Exploitation' — Grasberg environmental and tailings analysis</w:t>
      </w:r>
    </w:p>
    <w:p>
      <w:pPr>
        <w:spacing w:before="20" w:after="20"/>
        <w:ind w:left="170"/>
      </w:pPr>
      <w:r>
        <w:rPr>
          <w:rFonts w:ascii="Calibri" w:hAnsi="Calibri"/>
          <w:b/>
          <w:color w:val="4A6B25"/>
          <w:sz w:val="15"/>
        </w:rPr>
        <w:t xml:space="preserve">5. </w:t>
      </w:r>
      <w:r>
        <w:rPr>
          <w:rFonts w:ascii="Calibri" w:hAnsi="Calibri"/>
          <w:b w:val="0"/>
          <w:color w:val="3A4A28"/>
          <w:sz w:val="17"/>
        </w:rPr>
        <w:t>CNBC — Freeport-McMoRan CEO: 'Copper demand is driven by carbon reduction investments and AI,' March 2024</w:t>
      </w:r>
    </w:p>
    <w:p>
      <w:pPr>
        <w:spacing w:before="20" w:after="20"/>
        <w:ind w:left="170"/>
      </w:pPr>
      <w:r>
        <w:rPr>
          <w:rFonts w:ascii="Calibri" w:hAnsi="Calibri"/>
          <w:b/>
          <w:color w:val="4A6B25"/>
          <w:sz w:val="15"/>
        </w:rPr>
        <w:t xml:space="preserve">6. </w:t>
      </w:r>
      <w:r>
        <w:rPr>
          <w:rFonts w:ascii="Calibri" w:hAnsi="Calibri"/>
          <w:b w:val="0"/>
          <w:color w:val="3A4A28"/>
          <w:sz w:val="17"/>
        </w:rPr>
        <w:t>Yahoo Finance — FCX key statistics and financial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