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FERG</w:t>
      </w:r>
      <w:r>
        <w:rPr>
          <w:rFonts w:ascii="Calibri" w:hAnsi="Calibri"/>
          <w:b/>
          <w:color w:val="1A2010"/>
          <w:sz w:val="40"/>
        </w:rPr>
        <w:t xml:space="preserve">  Ferguson Enterprises Inc.</w:t>
      </w:r>
    </w:p>
    <w:p>
      <w:pPr>
        <w:spacing w:after="120"/>
      </w:pPr>
      <w:r>
        <w:rPr>
          <w:rFonts w:ascii="Calibri" w:hAnsi="Calibri"/>
          <w:b/>
          <w:color w:val="6E8450"/>
          <w:sz w:val="18"/>
        </w:rPr>
        <w:t>GROWTH SLEEVE · 2026-04-29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Ferguson Enterprises Inc. is the largest value-added distributor serving specialized professionals in North America's residential and non-residential construction market. The company distributes plumbing, HVAC, appliances, lighting, pipe, valves, fittings, and water/wastewater solutions through a network of distribution centers, branches, showrooms, and e-commerce channels.</w:t>
      </w:r>
    </w:p>
    <w:p>
      <w:r>
        <w:rPr>
          <w:rFonts w:ascii="Calibri" w:hAnsi="Calibri"/>
          <w:b/>
          <w:color w:val="6E8450"/>
          <w:sz w:val="18"/>
        </w:rPr>
        <w:t>35,000 Employees · https://www.corporate.ferguson.com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Ferguson has incrementally expanded its distribution model through acquisitions (contributing 1.0% to FY2025 revenue growth) and digital capabilities including e-commerce and virtual design/fabrication services, but has not executed a transformational pivot or launched category-defining products [1]. AI Deployment (1/2): Ferguson has established an innovation lab and is investing in AI, machine learning, and IoT through its Global Capability Center in India, exploring these technologies to enhance customer and associate experiences — specific AI-driven cost savings or revenue impact have not been quantified [2]. Market Share Leadership (1/2): Ferguson is the undisputed market leader in North American plumbing and HVAC distribution with $31.3B in net sales, holding dominant share in specialized professional channels, though the distribution industry is inherently fragmented [1]. Product Pipeline (1/2): The Corporate Venture Capital fund launched to focus on industry innovation and the India tech hub demonstrate forward-looking investment, though specific next-gen products with launch timelines are not articulated [2]. R&amp;D Intensity (0/1): As a distributor, Ferguson does not invest in traditional R&amp;D; technology spending focuses on digital platforms and supply chain optimization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Ferguson's purpose centers on providing essential water and air solutions to specialized professionals, which is clear and functional but not distinctively aspirational — it describes what the company does rather than a vision of a better future. Community &amp; Charitable Impact (1/2): Ferguson's ESG report documents corporate social responsibility initiatives including a 14% reduction in total recordable injury rate and 21% reduction in lost time rate, with executive compensation incorporating ESG considerations, though specific charitable program dollar amounts were not found [3]. Employee Retention (1/2): CEO Kevin Murphy joined Ferguson in 1999 after the acquisition of his family business and has 27 years of tenure, demonstrating deep institutional commitment at the top [2]. However, Glassdoor reviews (3.5/5 overall) include some reports of a 'fear-based management' culture at certain locations, suggesting inconsistent trust across the 35,000-employee organization [2]. Insider Buying (1/2): Murphy was appointed CEO in November 2019 with 8+ years in the role; his family business origin suggests deep personal stake, though specific recent insider purchase data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Ferguson delivers solid infrastructure fundamentals for a distribution business with D/E of 92.4% (below the 300% floor but above the 70% target), revenue growing 3.6% YoY organically plus 1.0% from acquisitions, and a Forward P/E of 20.9 near the 20 target [1][4]. The five-year revenue CAGR of ~6.9% reflects steady but not exceptional growth. The primary weakness is the thin 6.1% profit margin inherent to distribution businesses, well below the 20% target [4]. ROE data was unavailable from yfinance. The PEG ratio of 1.7 reflects moderate growth-to-valuation positioning. Q1 FY2026 operating profit rose 15.9% to $771M demonstrating margin expansion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Ferguson exhibits mixed infinite game characteristics. The company has sustained its distribution business for over 70 years since its 1953 founding and CEO Kevin Murphy's 27-year tenure demonstrates institutional continuity. However, the growth strategy is primarily acquisition-driven and financial engineering-oriented (share repurchases, M&amp;A), which Sinek would view as finite game tactics optimizing for near-term shareholder value rather than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Ferguson's purpose of providing essential water and air solutions to specialized professionals connects to critical infrastructure that communities depend on — clean water, heating, and plumbing are genuinely essential services [1]. Strategic decisions over decades have consistently expanded this core mission through adjacent categories (waterworks, HVAC, appliances) rather than diversifying away from it. However, the cause hasn't been tested through existential crisis and reads more as an operational identity than a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Kevin Murphy's 27-year tenure from family business acquisition to CEO demonstrates deep organizational roots, and the company employs 35,000 people across a stable branch network [2]. However, Glassdoor reviews (3.5/5) reveal inconsistency, with some employees reporting 'toxic leadership culture' and 'fear-based management' at certain locations, while others praise career opportunities [2]. The mixed signals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Ferguson's competitive positioning emphasizes market leadership and 'Why Ferguson' investor messaging focused on dominant share and scale advantages [1]. No evidence of management acknowledging competitors like Watsco, HD Supply, or Hajoca as worthy rivals whose strengths inspire self-improvement. The competitive narrative is about maintaining dominance rather than learning from others.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Ferguson's 2021 separation from parent company Ferguson plc (UK) to become a standalone U.S.-listed company was a significant structural transformation. The Corporate Venture Capital fund launch and India Global Capability Center represent investments in future capability [2]. However, the core distribution business model has not fundamentally changed in decades — growth has been incremental through acquisitions and geographic expansion within the same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Ferguson's decision to separate from its UK parent and pursue a standalone U.S. listing demonstrated strategic conviction. The company achieved its Scope 1 and 2 emissions reduction target two years ahead of schedule, embedding ESG into executive compensation [3]. However, capital allocation remains conventionally focused on M&amp;A, dividends, and buybacks — no evidence of costly long-term bets that sacrifice near-term earnings for transformative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Ferguson is the dominant North American distributor of plumbing, HVAC, and water infrastructure products with $31.3 billion in annual revenue, 5.0% top-line growth, and 24.2% diluted EPS growth in calendar 2025 [1]. The business benefits from structural tailwinds including aging U.S. housing stock requiring renovation, infrastructure spending (water/wastewater), and market share consolidation in a fragmented industry. Q1 FY2026 results showed accelerating profitability with operating profit up 15.9% to $771M and adjusted operating margin of 9.6% [1]. The company's scale, 35,000 employees, and branch network create durable competitive advantages that are structurally protected from AI disruption.</w:t>
      </w:r>
    </w:p>
    <w:p>
      <w:pPr>
        <w:spacing w:after="120"/>
      </w:pPr>
      <w:r>
        <w:rPr>
          <w:rFonts w:ascii="Calibri" w:hAnsi="Calibri"/>
          <w:b w:val="0"/>
          <w:color w:val="3A4A28"/>
          <w:sz w:val="20"/>
        </w:rPr>
        <w:t>The bear case centers on Ferguson's sensitivity to construction cyclicality and interest rate headwinds that slow residential construction activity, with organic revenue growth of only 4.5% suggesting limited pricing power in a normalizing market [1]. The 6.1% profit margin is structurally thin for a distribution business and leaves little room for error. At 25.4x trailing P/E and 20.9x forward P/E, the valuation prices in continued growth with limited margin of safety. Debt-to-equity of 92.4% adds balance sheet risk, and the 1.4% dividend yield provides minimal income support. The company's M&amp;A-driven growth model carries integration risk, particularly as acquisition multiples remain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infrastructure spending acceleration under federal water and wastewater programs could drive above-trend waterworks segment growth</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from operational efficiencies and AI-enabled supply chain optimization through the India Global Capability Center</w:t>
      </w:r>
    </w:p>
    <w:p>
      <w:pPr>
        <w:spacing w:before="40" w:after="40"/>
        <w:ind w:left="283"/>
      </w:pPr>
      <w:r>
        <w:rPr>
          <w:rFonts w:ascii="Calibri" w:hAnsi="Calibri"/>
          <w:b/>
          <w:color w:val="4A6B25"/>
          <w:sz w:val="20"/>
        </w:rPr>
        <w:t xml:space="preserve">3. </w:t>
      </w:r>
      <w:r>
        <w:rPr>
          <w:rFonts w:ascii="Calibri" w:hAnsi="Calibri"/>
          <w:b w:val="0"/>
          <w:color w:val="3A4A28"/>
          <w:sz w:val="20"/>
        </w:rPr>
        <w:t>Market share consolidation through disciplined M&amp;A in a fragmented $300B+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Residential construction slowdown from elevated mortgage rates could reduce demand for plumbing, HVAC, and related products — Ferguson's largest end market</w:t>
      </w:r>
    </w:p>
    <w:p>
      <w:pPr>
        <w:spacing w:before="40" w:after="40"/>
        <w:ind w:left="283"/>
      </w:pPr>
      <w:r>
        <w:rPr>
          <w:rFonts w:ascii="Calibri" w:hAnsi="Calibri"/>
          <w:b/>
          <w:color w:val="4A6B25"/>
          <w:sz w:val="20"/>
        </w:rPr>
        <w:t xml:space="preserve">2. </w:t>
      </w:r>
      <w:r>
        <w:rPr>
          <w:rFonts w:ascii="Calibri" w:hAnsi="Calibri"/>
          <w:b w:val="0"/>
          <w:color w:val="3A4A28"/>
          <w:sz w:val="20"/>
        </w:rPr>
        <w:t>Structural profit margin compression from competitive pricing pressure and rising labor costs across 35,000 employees in tight labor markets</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continued M&amp;A strategy if acquisition targets underperform or multiples remain elevated in a slowing construction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Ferguson's core business of physically distributing plumbing, HVAC, and water infrastructure products to job sites is structurally protected from AI disruption. The value chain involves warehousing, logistics, technical expertise, local relationships with contractors, and hands-on services (fabrication, kitting, installation support) that AI cannot replicate [1]. The residential and commercial construction sectors require physical product delivery and installation that exists entirely in the real world. Regulatory complexity around water and building codes adds further protection. Some back-office and pricing optimization functions could be automated by AI, but these represent efficiency gains rather than substitution threats [2]. AI Opportunity (1/1): Ferguson is actively investing in AI, ML, and IoT through its innovation lab and India-based Global Capability Center to optimize supply chain, pricing, and customer experience — technologies that enhance rather than threaten the core distribution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Ferguson Enterprises Q1 FY2026 Earnings Release and Calendar 2025 Results, corporate.ferguson.com, February 2026</w:t>
      </w:r>
    </w:p>
    <w:p>
      <w:pPr>
        <w:spacing w:before="20" w:after="20"/>
        <w:ind w:left="170"/>
      </w:pPr>
      <w:r>
        <w:rPr>
          <w:rFonts w:ascii="Calibri" w:hAnsi="Calibri"/>
          <w:b/>
          <w:color w:val="4A6B25"/>
          <w:sz w:val="15"/>
        </w:rPr>
        <w:t xml:space="preserve">2. </w:t>
      </w:r>
      <w:r>
        <w:rPr>
          <w:rFonts w:ascii="Calibri" w:hAnsi="Calibri"/>
          <w:b w:val="0"/>
          <w:color w:val="3A4A28"/>
          <w:sz w:val="17"/>
        </w:rPr>
        <w:t>Ferguson Enterprises Leadership, Innovation Lab, and India GCC Announcements, MDM / Comparably / Glassdoor,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Ferguson FY2024 ESG Report, corporate.ferguson.com,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FERG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