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FER</w:t>
      </w:r>
      <w:r>
        <w:rPr>
          <w:rFonts w:ascii="Calibri" w:hAnsi="Calibri"/>
          <w:b/>
          <w:color w:val="1A2010"/>
          <w:sz w:val="40"/>
        </w:rPr>
        <w:t xml:space="preserve">  Ferrovial SE</w:t>
      </w:r>
    </w:p>
    <w:p>
      <w:pPr>
        <w:spacing w:after="120"/>
      </w:pPr>
      <w:r>
        <w:rPr>
          <w:rFonts w:ascii="Calibri" w:hAnsi="Calibri"/>
          <w:b/>
          <w:color w:val="6E8450"/>
          <w:sz w:val="18"/>
        </w:rPr>
        <w:t>GROWTH SLEEVE · 2026-04-28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Netherlands</w:t>
      </w:r>
    </w:p>
    <w:p>
      <w:pPr>
        <w:spacing w:after="80"/>
      </w:pPr>
      <w:r>
        <w:rPr>
          <w:rFonts w:ascii="Calibri" w:hAnsi="Calibri"/>
          <w:b w:val="0"/>
          <w:color w:val="3A4A28"/>
          <w:sz w:val="20"/>
        </w:rPr>
        <w:t>Ferrovial SE is a global infrastructure operator and developer with operations across toll roads, airports, construction, and energy infrastructure. Founded in 1952 and headquartered in Amsterdam, the company operates through four segments — Construction, Highways, Airports, and Energy — serving markets in the United States, Spain, the United Kingdom, Poland, Canada, and internationally.</w:t>
      </w:r>
    </w:p>
    <w:p>
      <w:r>
        <w:rPr>
          <w:rFonts w:ascii="Calibri" w:hAnsi="Calibri"/>
          <w:b/>
          <w:color w:val="6E8450"/>
          <w:sz w:val="18"/>
        </w:rPr>
        <w:t>22,319 Employees · https://www.ferrovial.com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Ferrovial has executed a meaningful strategic transformation over the past five years, relocating its headquarters from Spain to the Netherlands and listing on NASDAQ in 2024 to access U.S. capital markets and position itself closer to its largest growth market [1]. The company also expanded into energy infrastructure (transmission and renewable generation), adding a fourth business segment. However, as an infrastructure operator, transformative product launches are not the company's business model — value creation comes through long-duration concession assets rather than product innovation. AI Deployment (1/2): Ferrovial has made meaningful AI investments through its Digital Hub, which over five years has integrated AI, drones, and 3D printing into operations [2]. CIO Dimitris Bountolos has emphasized agentic AI integration, and the company's Waldbronn-style approach to digital construction represents real operational deployment. However, no specific quantified revenue or cost savings from AI have been publicly disclosed [2]. Market Share (1/2): Ferrovial is a leading global infrastructure developer, particularly strong in managed toll lanes in Texas and the U.S. Northeast, and a significant airport operator (formerly Heathrow). The company holds meaningful but not dominant positions across its diversified geographic portfolio. Product Pipeline (1/2): The company has a robust pipeline of infrastructure concessions, including major U.S. highway projects and the new energy segment with visibility on transmission and renewable projects [1]. Specific next-generation infrastructure projects with committed revenue timelines provide good pipeline visibility. R&amp;D Intensity (1/1): Ferrovial's Digital Hub and 'Build UP!' innovation program — which sources solutions from startups via challenge prizes — demonstrate above-average R&amp;D and innovation intensity for the engineering and construction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Ferrovial's purpose centers on developing and operating sustainable infrastructure that improves people's lives. While this connects the company's work to societal benefit, it is a fairly standard articulation for a large infrastructure company — clear but not distinctively inspirational or uniquely Ferrovial's. Community Impact (1/2): Ferrovial has been recognized on the Dow Jones Sustainability Index for 23 consecutive years and on the CDP Climate Change A List for 15 consecutive years [3]. The company was the first to certify its Sustainability Strategy with UN SDGs through AENOR [3]. These are genuine and long-standing commitments, though they reflect corporate sustainability programs rather than distinctive charitable giving with specific dollar amounts. Employee Retention (1/2): With 22,319 employees and stable leadership under CEO Ignacio Madridejos (since October 2019), the company shows organizational stability. The Digital Hub operates with a 'no hierarchy' collaborative model designed to empower employees [2]. However, specific retention metrics, average tenure, or voluntary turnover data are not publicly available. Insider Buying (1/2): Ferrovial guided for approximately €1 billion in total shareholder returns for 2026, comprising a €400M buyback and ~€600M scrip dividend [1]. This signals management confidence, though scrip dividends and buybacks are corporate actions rather than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Ferrovial's financial profile reflects a mature infrastructure concessionaire with moderate leverage and thin margins typical of the construction industry. D/E of 140% is elevated but expected for an infrastructure company with long-duration concession assets financed through project debt [4]. ROE of 14.3% is just below the 15% target, reflecting the capital-intensive nature of toll roads and airports. Revenue of €9.6B grew 5.7% YoY in 2025, with 8.6% like-for-like growth and adjusted EBITDA up 12.2% [1]. The 3-year revenue CAGR of ~8.4% approaches the 10% target. Forward P/E of 46.1x is expensive, reflecting premium valuation for infrastructure concession assets with long-duration cash flows. Profit margin of 9.2% is below the 20% target but typical for construction-heavy businesses. PEG ratio of 5.58 is well above the 1.0 target, indicating the stock is richly valued relative to growth. Liquidity floor cleared: 1.28M avg volume × $67.72 = ~$86.4M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Ferrovial demonstrates strong infinite game characteristics as a 74-year-old infrastructure company founded in 1952 that has successfully evolved from a Spanish construction firm into a global infrastructure operator listed on NASDAQ. The company's long-duration concession model — toll roads and airports with 30-50 year agreements — inherently requires playing for the long term. CEO Madridejos' bold decision to relocate headquarters and list in the U.S. shows strategic courage, while 23 consecutive years on the Dow Jones Sustainability Index reflects enduring commitment to stakeholder value.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Ferrovial's cause — building and operating infrastructure that improves people's mobility and quality of life — is genuine and connects the company's toll roads, airports, and energy projects to meaningful societal outcomes [3]. The 74-year track record from a family-founded Spanish construction company to a global infrastructure leader demonstrates consistency of purpose across generations. The commitment to sustainability (23 years on DJSI, 15 years on CDP Climate A List) suggests the cause extends beyond profit [3]. However, infrastructure development is a business model rather than a transformative vision — Ferrovial is building roads and airports, which is valuable but not the kind of 'future state that does not yet exist' that Sinek demands for a 3-point score.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Ferrovial's Digital Hub operates on a 'no hierarchy' collaborative model where employees from all areas work on specific projects with external experts, reflecting organizational trust and empowerment [2]. The 'Build UP!' program and 'Zuritanken' initiative encourage ideas from all 22,000+ employees, suggesting a culture that values bottom-up innovation. CEO Madridejos has led since 2019 with stable executive continuity. However, the company recently named three new executives to its highway division (Cintra), and specific employee retention or tenure data is not publicly available to confirm a high-trust culture at scale [2].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Ferrovial competes against major infrastructure firms like Vinci, ACS, and Brookfield without framing competition as a zero-sum game. The company's 'Build UP!' innovation program actively sources solutions from external startups, acknowledging that smaller players may have strengths worth integrating [2]. Ferrovial's competitive language focuses on developing best-in-class infrastructure and sustainability rather than defeating rivals. The decision to list on NASDAQ alongside global peers reflects confidence in competing on merit rather than market protection.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Ferrovial has demonstrated transformative strategic flexibility multiple times in its 74-year history. The company evolved from a pure construction firm into an infrastructure concession operator, fundamentally changing its business model from project-based construction revenue to long-duration recurring toll and airport revenue [1]. The sale of its services division and Heathrow Airport stake to concentrate on North American infrastructure concessions was a significant strategic pivot. Most recently, the headquarters relocation to the Netherlands and NASDAQ listing represented a corporate reinvention in service of long-term strategic positioning. The entry into energy infrastructure marks another evolutionary step. These pivots were driven by strategic vision rather than desperation. Score: 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Madridejos made a bold and costly decision to relocate Ferrovial's domicile from Spain to the Netherlands and list on NASDAQ in 2024, facing significant political backlash in Spain but positioning the company closer to its largest growth market in the U.S. [1]. The expansion into energy infrastructure as a fourth business segment represents a forward-looking investment in the energy transition. The guided €1B in shareholder returns for 2026 while maintaining growth investment shows balanced capital allocation. However, these are strategic repositioning moves rather than the kind of painful sacrifice in service of a cause that Sinek's framework values most highly.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Ferrovial is a premier global infrastructure operator with a 74-year track record, generating €9.6B in 2025 revenue with 8.6% like-for-like growth and 12.2% adjusted EBITDA growth driven by robust demand across North American toll roads and construction [1]. The Q4 2025 results significantly beat consensus, with adjusted EBITDA up 28% YoY to €426M against expectations of €374M [1]. The company's long-duration concession model — toll roads and airports with 30-50 year agreements — provides exceptional revenue visibility and inflation protection through contractual toll escalators. The NASDAQ listing and U.S. market focus position Ferrovial to capture the massive U.S. infrastructure spending cycle, while the new Energy segment offers optionality from the energy transition. Management guided for ~€1B in total shareholder returns for 2026 (€400M buyback + ~€600M scrip dividend), demonstrating capital return commitment [1].</w:t>
      </w:r>
    </w:p>
    <w:p>
      <w:pPr>
        <w:spacing w:after="120"/>
      </w:pPr>
      <w:r>
        <w:rPr>
          <w:rFonts w:ascii="Calibri" w:hAnsi="Calibri"/>
          <w:b w:val="0"/>
          <w:color w:val="3A4A28"/>
          <w:sz w:val="20"/>
        </w:rPr>
        <w:t>The bear case centers on valuation and margin profile. At 46.1x forward P/E and 5.58x PEG ratio, Ferrovial trades at a steep premium to both infrastructure peers and the broader market, requiring sustained high-single-digit growth for years to justify current multiples [4]. Q4 2025 earnings declined 87.6% YoY, reflecting the lumpy nature of infrastructure concession accounting and one-time items. Profit margin of 9.2% is thin relative to the company's premium valuation, and D/E of 140% reflects significant leverage embedded in concession project finance structures [4]. The construction segment, while driving near-term growth, carries execution risk on large-scale projects. Currency risk is material given the mismatch between euro-denominated reporting and U.S. dollar-denominated operations. The Heathrow stake divestiture removed a valuable cash-generating asset, and the relocation-related political friction in Spain could affect future concession awards in European markets. Ferrovial is a high-quality infrastructure operator priced for perfection — any execution stumble or multiple compression could generate significant downside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infrastructure spending cycle — Ferrovial is positioned to capture significant share of managed toll lane and highway concession awards in its core Texas and Northeast markets as federal and state infrastructure investment accelerates [1]</w:t>
      </w:r>
    </w:p>
    <w:p>
      <w:pPr>
        <w:spacing w:before="40" w:after="40"/>
        <w:ind w:left="283"/>
      </w:pPr>
      <w:r>
        <w:rPr>
          <w:rFonts w:ascii="Calibri" w:hAnsi="Calibri"/>
          <w:b/>
          <w:color w:val="4A6B25"/>
          <w:sz w:val="20"/>
        </w:rPr>
        <w:t xml:space="preserve">2. </w:t>
      </w:r>
      <w:r>
        <w:rPr>
          <w:rFonts w:ascii="Calibri" w:hAnsi="Calibri"/>
          <w:b w:val="0"/>
          <w:color w:val="3A4A28"/>
          <w:sz w:val="20"/>
        </w:rPr>
        <w:t>Energy segment expansion — new fourth business segment targeting energy transmission and renewable generation infrastructure provides growth optionality from the energy transition without requiring additional concession bid risk [1]</w:t>
      </w:r>
    </w:p>
    <w:p>
      <w:pPr>
        <w:spacing w:before="40" w:after="40"/>
        <w:ind w:left="283"/>
      </w:pPr>
      <w:r>
        <w:rPr>
          <w:rFonts w:ascii="Calibri" w:hAnsi="Calibri"/>
          <w:b/>
          <w:color w:val="4A6B25"/>
          <w:sz w:val="20"/>
        </w:rPr>
        <w:t xml:space="preserve">3. </w:t>
      </w:r>
      <w:r>
        <w:rPr>
          <w:rFonts w:ascii="Calibri" w:hAnsi="Calibri"/>
          <w:b w:val="0"/>
          <w:color w:val="3A4A28"/>
          <w:sz w:val="20"/>
        </w:rPr>
        <w:t>Approximately €1 billion in guided 2026 shareholder returns through €400M buyback and ~€600M scrip dividend, reflecting management confidence in free cash flow generation and commitment to capital return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risk — at 46.1x forward P/E and 5.58x PEG ratio, the stock is priced for sustained high-single-digit growth with no room for execution disappointment or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Earnings volatility and thin margins — Q4 2025 earnings declined 87.6% YoY and profit margin of 9.2% leaves little buffer against construction cost overruns, traffic volume shortfalls, or currency headwinds [1][4]</w:t>
      </w:r>
    </w:p>
    <w:p>
      <w:pPr>
        <w:spacing w:before="40" w:after="40"/>
        <w:ind w:left="283"/>
      </w:pPr>
      <w:r>
        <w:rPr>
          <w:rFonts w:ascii="Calibri" w:hAnsi="Calibri"/>
          <w:b/>
          <w:color w:val="4A6B25"/>
          <w:sz w:val="20"/>
        </w:rPr>
        <w:t xml:space="preserve">3. </w:t>
      </w:r>
      <w:r>
        <w:rPr>
          <w:rFonts w:ascii="Calibri" w:hAnsi="Calibri"/>
          <w:b w:val="0"/>
          <w:color w:val="3A4A28"/>
          <w:sz w:val="20"/>
        </w:rPr>
        <w:t>Political and regulatory risk — headquarters relocation from Spain created political friction that could affect European concession awards, while U.S. infrastructure policy changes could alter the toll road concession landscape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Ferrovial's core business — operating toll roads, building highways, managing airports, and developing energy infrastructure — is fundamentally physical-world infrastructure that AI cannot substitute [2]. Toll road concessions generate revenue from vehicle traffic on physical roads with 30-50 year concession agreements; airports require physical terminals, runways, and security infrastructure; construction involves heavy equipment, materials, and on-site labor. These are deeply regulated, capital-intensive physical assets with massive barriers to entry that AI structurally cannot displace. AI may improve operational efficiency (traffic management, predictive maintenance, construction planning) but cannot replace the core infrastructure itself. The only modest exposure is in back-office and engineering design functions where AI tools could reduce labor needs. AI Opportunity (1/1): Ferrovial generates meaningful AI-adjacent value through its Digital Hub, which has deployed AI in construction operations, traffic management, and infrastructure monitoring over the past five years [2]. CIO Bountolos has publicly emphasized agentic AI integration, and the company uses AI-powered drones and 3D printing in construction projects, representing operational AI deployment with quantifiable productivity benefits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Ferrovial FY2025 earnings release — €9.6B revenue (+8.6% LFL), €1.5B adjusted EBITDA (+12.2%), Q4 EBITDA €426M (+28% YoY), €1B guided 2026 shareholder returns; Ferrovial newsroom, Investing.com,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Ferrovial Digital Hub, AI strategy, and innovation programs — Build UP! program, Zuritanken initiative, CIO Bountolos on agentic AI, no-hierarchy Digital Hub; CIO.com, Construction Dive, Klover.ai, 2024-2026</w:t>
      </w:r>
    </w:p>
    <w:p>
      <w:pPr>
        <w:spacing w:before="20" w:after="20"/>
        <w:ind w:left="170"/>
      </w:pPr>
      <w:r>
        <w:rPr>
          <w:rFonts w:ascii="Calibri" w:hAnsi="Calibri"/>
          <w:b/>
          <w:color w:val="4A6B25"/>
          <w:sz w:val="15"/>
        </w:rPr>
        <w:t xml:space="preserve">3. </w:t>
      </w:r>
      <w:r>
        <w:rPr>
          <w:rFonts w:ascii="Calibri" w:hAnsi="Calibri"/>
          <w:b w:val="0"/>
          <w:color w:val="3A4A28"/>
          <w:sz w:val="17"/>
        </w:rPr>
        <w:t>Ferrovial ESG and sustainability — 23 consecutive years on DJSI (81/100 in 2024), 15 years on CDP Climate A List, first company to certify Sustainability Strategy with UN SDGs; Ferrovial.com, CSRHub,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FER (Ferrovial SE),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