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FFAI</w:t>
      </w:r>
      <w:r>
        <w:rPr>
          <w:rFonts w:ascii="Calibri" w:hAnsi="Calibri"/>
          <w:b/>
          <w:color w:val="1A2010"/>
          <w:sz w:val="40"/>
        </w:rPr>
        <w:t xml:space="preserve">  Faraday Future Intelligent Electric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Faraday Future Intelligent Electric Inc. is a Los Angeles-based EV startup that has been attempting to bring its luxury FF 91 vehicle to market since 2014. The company has delivered a negligible number of vehicles and generated only $316K in TTM revenue against deep operating losses, while developing its FX brand strategy targeting mass-market electric vehicles.</w:t>
      </w:r>
    </w:p>
    <w:p>
      <w:r>
        <w:rPr>
          <w:rFonts w:ascii="Calibri" w:hAnsi="Calibri"/>
          <w:b/>
          <w:color w:val="6E8450"/>
          <w:sz w:val="18"/>
        </w:rPr>
        <w:t>400 Employees · https://www.ff.com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Faraday Future has been in development for over 10 years with minimal commercial execution — the company has delivered fewer than 10 vehicles commercially, scoring 0 on Innovation Track Record as there are no successful product launches or pivots[1]. The FF 91 AIEV (AI Electric Vehicle) concept is innovative on paper, and the company claims AI-driven in-car experiences, but with $316K TTM revenue, there are no measurable AI product results — scoring 1 for AI exploration without measurable results[1]. No category leadership exists — FFAI holds zero meaningful market share in the EV sector. Pipeline for FX mass-market models has announced homologation targets of Q3 2026 but no specific revenue visibility, scoring 1 for some pipeline visibility. R&amp;D intensity is high relative to revenue but the company lacks the scale to make this meaningful.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Faraday Future's mission of creating a 'user-centric, technology-first, smart driving experience' and disrupting the automotive industry is specific and aspirational — scoring 2 on mission quality. However, the company has undergone multiple leadership crises, executive departures, and founder Jia Yueting's continuing influence from overseas creates significant mission authenticity questions. No evidence of community charitable programs beyond startup-stage activity — scoring 0. High turnover and workforce reductions make retention evidence unavailable — scoring 0. No insider buying data found, and significant insider and founder selling has been reported — scoring 1 for neutral/unfavorable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FFAI's infrastructure score is 0 due to the liquidity floor: stock price of approximately $1.02 × avg daily volume of approximately 500,000 shares = ~$510,000, which is below the $1,000,000 liquidity threshold. The company also has a deeply negative profit margin (-3,252%), negative gross profit, and zero meaningful revenue ($316K TTM against $43M in operating losses)[1]. All financial metrics are at or below floor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Faraday Future has been playing a survival game since its founding — repeatedly restructuring debt, navigating SEC investigations, managing founder controversies, and missing production targets. The company's strategic decisions have consistently prioritized short-term survival over building an enduring enterprise. Despite aspirational language about transforming mobility, there is no evidence of consistent Just Cause execution over the company's 12-year history.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FFAI's vision of 'disrupting the automotive industry with a user-centric AIEV ecosystem' is specific and aspirational — scoring 1 point. However, it reads as marketing copy that has not been validated by execution after 12 years. Strategic consistency has been absent with multiple pivots forced by financial distress rather than mission alignment.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executive departures, repeated layoffs, SEC investigations into founder Jia Yueting's influence, and a workforce reduced to ~400 employees indicates a low-trust organizational environment. The company has been unable to build and retain the engineering talent needed to deliver on its promises. Scores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FFAI learning from rivals or framing competitive strategy as self-improvement. The company's competitive positioning is primarily defensive, focused on differentiation by price point and niche luxury positioning. Scores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FFAI has pivoted — from luxury-only FF 91 to the broader FX mass-market strategy — but these pivots have been forced by financial necessity rather than Just Cause-driven strategic vision. The FX brand strategy remains unproven at $1.02 per share with $316K TTM revenue. Scores 0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Financial decisions have been reactive — emergency capital raises, founder controversy management, compliance with Nasdaq delisting threats. The company has not demonstrated a pattern of making costly long-term investments in service of a Just Cause. Scores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Faraday Future's bull case rests entirely on a venture-style option: if the FX mass-market EV brand achieves EPA/CARB homologation by Q3 2026 as targeted and begins production, the company could establish a foothold in the mainstream EV market that generates real revenue[1]. The $204M market cap provides a small-scale entry point for speculative investors willing to bet on execution by a team that has failed to deliver for 12 years. The company has planned routes to market and a manufacturing strategy, and the broader EV market continues to expand.</w:t>
      </w:r>
    </w:p>
    <w:p>
      <w:pPr>
        <w:spacing w:after="120"/>
      </w:pPr>
      <w:r>
        <w:rPr>
          <w:rFonts w:ascii="Calibri" w:hAnsi="Calibri"/>
          <w:b w:val="0"/>
          <w:color w:val="3A4A28"/>
          <w:sz w:val="20"/>
        </w:rPr>
        <w:t>The bear case is overwhelming. With $316K in TTM revenue, -$43M operating losses, a net profit margin of -3,252%, and no pathway to positive cash flow in any analyst model, FFAI is a pre-commercial company burning through capital without demonstrated ability to manufacture and sell vehicles at scale[1]. The stock has declined ~60% over the past year and sits near all-time lows. The FX strategy adds another capital need on top of unresolved FF 91 manufacturing challenges. Multiple SEC concerns around founder Jia Yueting's continued influence add governance risk that most institutional investors cannot accept.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FX mass-market model EPA/CARB homologation completion by Q3 2026 and initiation of production bookings that demonstrate real commercial demand</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with a major OEM or tier-1 supplier that provides manufacturing capacity, capital, and distribution to accelerate the FX launch</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maintenance avoiding delisting that would otherwise eliminate institutional investor access to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exhaustion — the company has minimal cash runway without continuous equity raises, each of which further dilutes existing shareholders at already depressed prices</w:t>
      </w:r>
    </w:p>
    <w:p>
      <w:pPr>
        <w:spacing w:before="40" w:after="40"/>
        <w:ind w:left="283"/>
      </w:pPr>
      <w:r>
        <w:rPr>
          <w:rFonts w:ascii="Calibri" w:hAnsi="Calibri"/>
          <w:b/>
          <w:color w:val="4A6B25"/>
          <w:sz w:val="20"/>
        </w:rPr>
        <w:t xml:space="preserve">2. </w:t>
      </w:r>
      <w:r>
        <w:rPr>
          <w:rFonts w:ascii="Calibri" w:hAnsi="Calibri"/>
          <w:b w:val="0"/>
          <w:color w:val="3A4A28"/>
          <w:sz w:val="20"/>
        </w:rPr>
        <w:t>FF 91 production failure to scale beyond single-digit deliveries making the FX brand strategy financially impossible to execute without massive external capital infusion</w:t>
      </w:r>
    </w:p>
    <w:p>
      <w:pPr>
        <w:spacing w:before="40" w:after="40"/>
        <w:ind w:left="283"/>
      </w:pPr>
      <w:r>
        <w:rPr>
          <w:rFonts w:ascii="Calibri" w:hAnsi="Calibri"/>
          <w:b/>
          <w:color w:val="4A6B25"/>
          <w:sz w:val="20"/>
        </w:rPr>
        <w:t xml:space="preserve">3. </w:t>
      </w:r>
      <w:r>
        <w:rPr>
          <w:rFonts w:ascii="Calibri" w:hAnsi="Calibri"/>
          <w:b w:val="0"/>
          <w:color w:val="3A4A28"/>
          <w:sz w:val="20"/>
        </w:rPr>
        <w:t>Nasdaq delisting if stock fails to maintain minimum bid price compliance, eliminating institutional capital access and accelerating the spiral toward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Faraday Future is an EV manufacturer, and while the physical vehicle itself cannot be replaced by AI, the software and user experience layers that FFAI claims as its differentiator are highly vulnerable to replication by Tesla's FSD, Waymo, and other AI-native competitors who have far more data, capital, and production scale[1]. The FF 91's AI-powered cabin experience is a feature, not a moat — larger OEMs and tech companies can and are replicating similar capabilities with superior resources. Investors should note that FFAI's 'AI Electric Vehicle' positioning is more marketing than technological differentiation at current scale. No meaningful AI revenue generated — scores 3 on AI Risk Protection (exposed, uncertain outcome)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Benzinga, 'Faraday Future Stock Price Prediction 2025, 2026 &amp; 2030',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'FFAI Statistics &amp; Valuation', March 2026</w:t>
      </w:r>
    </w:p>
    <w:p>
      <w:pPr>
        <w:spacing w:before="20" w:after="20"/>
        <w:ind w:left="170"/>
      </w:pPr>
      <w:r>
        <w:rPr>
          <w:rFonts w:ascii="Calibri" w:hAnsi="Calibri"/>
          <w:b/>
          <w:color w:val="4A6B25"/>
          <w:sz w:val="15"/>
        </w:rPr>
        <w:t xml:space="preserve">3. </w:t>
      </w:r>
      <w:r>
        <w:rPr>
          <w:rFonts w:ascii="Calibri" w:hAnsi="Calibri"/>
          <w:b w:val="0"/>
          <w:color w:val="3A4A28"/>
          <w:sz w:val="17"/>
        </w:rPr>
        <w:t>Faraday Future Investor Relations, Quarterly Results, 2025</w:t>
      </w:r>
    </w:p>
    <w:p>
      <w:pPr>
        <w:spacing w:before="20" w:after="20"/>
        <w:ind w:left="170"/>
      </w:pPr>
      <w:r>
        <w:rPr>
          <w:rFonts w:ascii="Calibri" w:hAnsi="Calibri"/>
          <w:b/>
          <w:color w:val="4A6B25"/>
          <w:sz w:val="15"/>
        </w:rPr>
        <w:t xml:space="preserve">4. </w:t>
      </w:r>
      <w:r>
        <w:rPr>
          <w:rFonts w:ascii="Calibri" w:hAnsi="Calibri"/>
          <w:b w:val="0"/>
          <w:color w:val="3A4A28"/>
          <w:sz w:val="17"/>
        </w:rPr>
        <w:t>WallStreetZen, 'Faraday Future Stock Forecast &amp; Predictions',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