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FFBC</w:t>
      </w:r>
      <w:r>
        <w:rPr>
          <w:rFonts w:ascii="Calibri" w:hAnsi="Calibri"/>
          <w:b/>
          <w:color w:val="1A2010"/>
          <w:sz w:val="40"/>
        </w:rPr>
        <w:t xml:space="preserve">  First Financial Bancorp.</w:t>
      </w:r>
    </w:p>
    <w:p>
      <w:pPr>
        <w:spacing w:after="120"/>
      </w:pPr>
      <w:r>
        <w:rPr>
          <w:rFonts w:ascii="Calibri" w:hAnsi="Calibri"/>
          <w:b/>
          <w:color w:val="6E8450"/>
          <w:sz w:val="18"/>
        </w:rPr>
        <w:t>DIVIDEND SLEEVE · 2026-05-06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First Financial Bancorp. operates as the bank holding company for First Financial Bank that provides commercial banking and banking-related services to individuals and businesses in Ohio, Indiana, Kentucky, and Illinois. The company offers deposit products, commercial and real estate loans, consumer financing, trust and wealth management, lease and equipment financing, and foreign exchange hedging services. Founded in 1863 and headquartered in Cincinnati, Ohio.</w:t>
      </w:r>
    </w:p>
    <w:p>
      <w:r>
        <w:rPr>
          <w:rFonts w:ascii="Calibri" w:hAnsi="Calibri"/>
          <w:b/>
          <w:color w:val="6E8450"/>
          <w:sz w:val="18"/>
        </w:rPr>
        <w:t>2,319 Employees · https://www.bankatfirst.com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Financial has pursued an aggressive inorganic growth strategy, completing the acquisitions of Westfield Bank and Bank Financial to bolster its market presence and product capabilities [1]. Q1 2026 revenue of $271.5M topped Wall Street estimates by 5.3%, with adjusted EPS up 22% year-over-year to $0.71, demonstrating strong execution [1][2]. R&amp;D intensity is inherently limited in banking, but management has invested in digital banking platforms and expanded its insurance and wealth management verticals to diversify revenue streams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3.9/5.0 across 310 reviews reflects a generally positive but not exceptional workplace culture, with praise for work-life balance and fair pay but criticism of senior management compensation decisions that bypassed frontline staff raises [4]. CEO Archie Brown has led since 2018 with a compensation structure weighted 74% toward performance-based incentives, aligning leadership with shareholder outcomes [5]. The company maintains a Corporate Social Responsibility program focused on community banking, but lacks a transformative mission that would elevate it beyond industry norms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FFBC demonstrates solid financial discipline with a profit margin of 30.4%, a highly attractive forward P/E of 8.9x, and a conservative payout ratio of 35.0% [2]. Return on equity at 10.2% is below the 15% target typical of top-tier banks but adequate for a regional player in a rising-rate environment. Revenue growth of 32.6% YoY is exceptional, driven by the Westfield and Bank Financial acquisitions, though the 5-year CAGR of 8.3% is more representative of organic trends [1]. Dividend has been paid for 30+ consecutive years with modest recent growth of 2.1% CAGR over five years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First Financial demonstrates a mixed infinite game posture — the acquisitions of Westfield Bank and Bank Financial show strategic ambition to build long-term scale, but the company's vision remains narrowly focused on regional banking consolidation rather than a transformative just cause. Leadership stability under CEO Brown since 2018 provides continuity, and the 160-year operating history signals institutional durability, though recent employee concerns about compensation equity suggest trust-building gaps.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FFBC's mission centers on community banking and relationship-based financial services, which is a credible but incremental purpose rather than an inspiring just cause [3]. The company's CSR program and community reinvestment activities demonstrate commitment to stakeholders beyond shareholders, earning one point, but the vision lacks the aspirational quality needed to attract followers for generations [6].</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3.9/5.0 rating and employee praise for work-life balance, mentoring programs, and open-door leadership suggest functional trust, but criticism of senior management prioritizing executive bonuses over frontline raises points to an equity gap that could erode trust over time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FFBC competes with Fifth Third, Huntington, and other Ohio-based regionals but has not publicly articulated how rivals push it to improve. The competitive landscape is acknowledged in risk factors but not leveraged as a source of strategic inspiration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FFBC has shown limited existential flexibility, remaining firmly within the regional banking model since its founding in 1863. Acquisitions have expanded geographic reach and product lines but represent incremental rather than transformative pivots [1]. No evidence of exploring adjacent business models like embedded finance or banking-as-a-service.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pursue multiple acquisitions (Westfield Bank, Bank Financial) while maintaining dividend consistency demonstrates willingness to invest for long-term positioning even at the cost of short-term earnings dilution [1]. CEO Brown's seven-year tenure and performance-weighted compensation show alignment with long-term value creation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Financial Bancorp offers a compelling value proposition for income-oriented investors seeking regional banking exposure at a deeply discounted valuation. Trading at just 8.9x forward earnings with a 3.3% dividend yield and 35% payout ratio, FFBC provides significant margin of safety [2]. The integration of Westfield Bank and Bank Financial acquisitions is driving 29% revenue growth, and consensus estimates project $3.12 EPS for 2026 (+18% YoY), suggesting the current price does not fully reflect the earnings trajectory [1]. Q1 2026 results validated this thesis with a $0.07 EPS beat and 22% adjusted earnings growth [2]. The 160-year operating history and strong profit margins of 30.4% underscore the durability of the franchise.</w:t>
      </w:r>
    </w:p>
    <w:p>
      <w:pPr>
        <w:spacing w:after="120"/>
      </w:pPr>
      <w:r>
        <w:rPr>
          <w:rFonts w:ascii="Calibri" w:hAnsi="Calibri"/>
          <w:b w:val="0"/>
          <w:color w:val="3A4A28"/>
          <w:sz w:val="20"/>
        </w:rPr>
        <w:t>The bear case centers on FFBC's exposure to commercial real estate concentration risk in the Midwest, where economic sensitivity could pressure loan quality in a downturn. AI disruption from fintech competitors poses a medium-term threat to consumer banking market share, and the company has not articulated a clear digital transformation strategy [7]. Dividend growth has been anemic at 2.1% CAGR over five years, barely keeping pace with inflation, which may disappoint investors seeking compounding income. Integration risk from back-to-back acquisitions could pressure operating efficiency if synergies are slower to materialize than projected. The ROE of 10.2% remains below industry-leading peers, suggesting capital efficiency has room for improvement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integration of Westfield Bank and Bank Financial acquisitions expected to drive $15-20M in annualized cost synergies by H2 2026</w:t>
      </w:r>
    </w:p>
    <w:p>
      <w:pPr>
        <w:spacing w:before="40" w:after="40"/>
        <w:ind w:left="283"/>
      </w:pPr>
      <w:r>
        <w:rPr>
          <w:rFonts w:ascii="Calibri" w:hAnsi="Calibri"/>
          <w:b/>
          <w:color w:val="4A6B25"/>
          <w:sz w:val="20"/>
        </w:rPr>
        <w:t xml:space="preserve">2. </w:t>
      </w:r>
      <w:r>
        <w:rPr>
          <w:rFonts w:ascii="Calibri" w:hAnsi="Calibri"/>
          <w:b w:val="0"/>
          <w:color w:val="3A4A28"/>
          <w:sz w:val="20"/>
        </w:rPr>
        <w:t>Consensus projects 19% revenue growth and $3.12 EPS for FY2026, with potential for further upside given Q1's beat trajectory</w:t>
      </w:r>
    </w:p>
    <w:p>
      <w:pPr>
        <w:spacing w:before="40" w:after="40"/>
        <w:ind w:left="283"/>
      </w:pPr>
      <w:r>
        <w:rPr>
          <w:rFonts w:ascii="Calibri" w:hAnsi="Calibri"/>
          <w:b/>
          <w:color w:val="4A6B25"/>
          <w:sz w:val="20"/>
        </w:rPr>
        <w:t xml:space="preserve">3. </w:t>
      </w:r>
      <w:r>
        <w:rPr>
          <w:rFonts w:ascii="Calibri" w:hAnsi="Calibri"/>
          <w:b w:val="0"/>
          <w:color w:val="3A4A28"/>
          <w:sz w:val="20"/>
        </w:rPr>
        <w:t>Potential for accelerated dividend growth as payout ratio (35%) leaves substantial headroom for increases alongside earnings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real estate concentration in Midwest markets creates vulnerability to regional economic downturns and rising vacancy rates</w:t>
      </w:r>
    </w:p>
    <w:p>
      <w:pPr>
        <w:spacing w:before="40" w:after="40"/>
        <w:ind w:left="283"/>
      </w:pPr>
      <w:r>
        <w:rPr>
          <w:rFonts w:ascii="Calibri" w:hAnsi="Calibri"/>
          <w:b/>
          <w:color w:val="4A6B25"/>
          <w:sz w:val="20"/>
        </w:rPr>
        <w:t xml:space="preserve">2. </w:t>
      </w:r>
      <w:r>
        <w:rPr>
          <w:rFonts w:ascii="Calibri" w:hAnsi="Calibri"/>
          <w:b w:val="0"/>
          <w:color w:val="3A4A28"/>
          <w:sz w:val="20"/>
        </w:rPr>
        <w:t>Fintech disruption in consumer banking and wealth management where FFBC lacks a clear AI/digital transformation strategy</w:t>
      </w:r>
    </w:p>
    <w:p>
      <w:pPr>
        <w:spacing w:before="40" w:after="40"/>
        <w:ind w:left="283"/>
      </w:pPr>
      <w:r>
        <w:rPr>
          <w:rFonts w:ascii="Calibri" w:hAnsi="Calibri"/>
          <w:b/>
          <w:color w:val="4A6B25"/>
          <w:sz w:val="20"/>
        </w:rPr>
        <w:t xml:space="preserve">3. </w:t>
      </w:r>
      <w:r>
        <w:rPr>
          <w:rFonts w:ascii="Calibri" w:hAnsi="Calibri"/>
          <w:b w:val="0"/>
          <w:color w:val="3A4A28"/>
          <w:sz w:val="20"/>
        </w:rPr>
        <w:t>Integration execution risk from two concurrent acquisitions could strain management bandwidth and delay synergy realization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Regional banking faces moderate AI disruption risk from fintech challengers deploying AI-powered lending, robo-advisory, and neobank platforms that can undercut traditional branch-based models on cost and speed [7]. FFBC's relationship-banking model in Ohio, Indiana, Kentucky, and Illinois provides a partial moat — small business and commercial lending rely heavily on local knowledge and personal relationships that AI cannot easily replicate [3]. However, FFBC has not disclosed a meaningful AI adoption strategy, leaving it vulnerable to digitally native competitors in consumer banking and wealth management; the absence of specific AI initiatives is a concern as larger banks invest billions in AI infrastructure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Financial Bancorp Q1 2026 Earnings Release, PR Newswire, April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FFBC key statistics,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First Financial Bancorp 2023 Corporate Social Responsibility Report</w:t>
      </w:r>
    </w:p>
    <w:p>
      <w:pPr>
        <w:spacing w:before="20" w:after="20"/>
        <w:ind w:left="170"/>
      </w:pPr>
      <w:r>
        <w:rPr>
          <w:rFonts w:ascii="Calibri" w:hAnsi="Calibri"/>
          <w:b/>
          <w:color w:val="4A6B25"/>
          <w:sz w:val="15"/>
        </w:rPr>
        <w:t xml:space="preserve">4. </w:t>
      </w:r>
      <w:r>
        <w:rPr>
          <w:rFonts w:ascii="Calibri" w:hAnsi="Calibri"/>
          <w:b w:val="0"/>
          <w:color w:val="3A4A28"/>
          <w:sz w:val="17"/>
        </w:rPr>
        <w:t>Glassdoor — First Financial Bank employee reviews,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Simply Wall St — FFBC Leadership &amp; Management Analysis, accessed May 2026</w:t>
      </w:r>
    </w:p>
    <w:p>
      <w:pPr>
        <w:spacing w:before="20" w:after="20"/>
        <w:ind w:left="170"/>
      </w:pPr>
      <w:r>
        <w:rPr>
          <w:rFonts w:ascii="Calibri" w:hAnsi="Calibri"/>
          <w:b/>
          <w:color w:val="4A6B25"/>
          <w:sz w:val="15"/>
        </w:rPr>
        <w:t xml:space="preserve">6. </w:t>
      </w:r>
      <w:r>
        <w:rPr>
          <w:rFonts w:ascii="Calibri" w:hAnsi="Calibri"/>
          <w:b w:val="0"/>
          <w:color w:val="3A4A28"/>
          <w:sz w:val="17"/>
        </w:rPr>
        <w:t>Sustainalytics — First Financial Bancorp ESG Risk Rating, accessed May 2026</w:t>
      </w:r>
    </w:p>
    <w:p>
      <w:pPr>
        <w:spacing w:before="20" w:after="20"/>
        <w:ind w:left="170"/>
      </w:pPr>
      <w:r>
        <w:rPr>
          <w:rFonts w:ascii="Calibri" w:hAnsi="Calibri"/>
          <w:b/>
          <w:color w:val="4A6B25"/>
          <w:sz w:val="15"/>
        </w:rPr>
        <w:t xml:space="preserve">7. </w:t>
      </w:r>
      <w:r>
        <w:rPr>
          <w:rFonts w:ascii="Calibri" w:hAnsi="Calibri"/>
          <w:b w:val="0"/>
          <w:color w:val="3A4A28"/>
          <w:sz w:val="17"/>
        </w:rPr>
        <w:t>McKinsey Global Banking Practice — Building the AI Bank of the Future,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