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FHN</w:t>
      </w:r>
      <w:r>
        <w:rPr>
          <w:rFonts w:ascii="Calibri" w:hAnsi="Calibri"/>
          <w:b/>
          <w:color w:val="1A2010"/>
          <w:sz w:val="40"/>
        </w:rPr>
        <w:t xml:space="preserve">  First Horizon Corporation</w:t>
      </w:r>
    </w:p>
    <w:p>
      <w:pPr>
        <w:spacing w:after="120"/>
      </w:pPr>
      <w:r>
        <w:rPr>
          <w:rFonts w:ascii="Calibri" w:hAnsi="Calibri"/>
          <w:b/>
          <w:color w:val="6E8450"/>
          <w:sz w:val="18"/>
        </w:rPr>
        <w:t>DIVIDEND SLEEVE · 2026-03-30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First Horizon Corporation is a financial services holding company operating through its banking subsidiary First Horizon Bank, providing commercial banking, wealth management, and capital markets services. Founded in 1864 and headquartered in Memphis, Tennessee, the company operates 416 banking centers across 12 southeastern U.S. states with approximately $82 billion in assets.</w:t>
      </w:r>
    </w:p>
    <w:p>
      <w:r>
        <w:rPr>
          <w:rFonts w:ascii="Calibri" w:hAnsi="Calibri"/>
          <w:b/>
          <w:color w:val="6E8450"/>
          <w:sz w:val="18"/>
        </w:rPr>
        <w:t>7,200 Employees · https://www.firsthorizon.com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Horizon is a traditional regional bank with limited technology differentiation — no publicized AI strategy, no proprietary fintech platform, and no significant R&amp;D pipeline beyond standard digital banking capabilities [1][3]. The company has been focused on post-merger integration (IBKC) and organic balance sheet optimization rather than technology innovation. However, the bank's strong capital markets business (FHN Financial) and wealth management advisory platform demonstrate product breadth beyond basic banking [1]. Ranked No. 5 among Top 10 Most Reputable U.S. Banks by American Banker, suggesting competitive quality if not innovation leadership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Bryan Jordan is described by employees as 'a tremendous and insightful leader,' with a strong community-focused philosophy reflected in $19M+ annual nonprofit investment and the 'Here for Good' CSR framework [3][4]. His board involvement with Operation HOPE and the Coalition for Better Health demonstrates personal mission alignment. Glassdoor reviews are mixed — positive about team quality ('best in the business') but citing post-TD merger cultural friction, with some reporting a 'fear culture' in Compliance and excessive overtime demands in IT [3]. The company's 160+ year history in Memphis provides institutional stability and community rootedness.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Horizon delivered 8.1% revenue growth beating consensus by 3.2%, with return on tangible common equity reaching 15% in H2 2025 [1]. The 2026 outlook guides 3-7% revenue growth with flat expenses, generating positive operating leverage and a $100M+ PPNR improvement opportunity [1]. P/E of 11.9 is in line with regional bank peers, profit margin of 29.3% is excellent, ROE of 10.9% is solid, and the $1.2B share repurchase authorization (with ~$1B remaining) demonstrates capital return capacity [1][2]. The balance sheet is well-positioned with $82B in assets and mid-single-digit loan growth expected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Horizon demonstrates solid infinite game characteristics — a 160+ year operating history, community-focused mission, strong CEO with clear values, and disciplined capital allocation — though the post-merger cultural challenges and typical regional bank short-term earnings focus prevent a fully infinite mindset [1][3][4].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Horizon's 'Here for Good' framework and 160+ year history in Memphis reflect a genuine community banking purpose that has endured through multiple economic cycles [4]. The company invested $19M+ through nonprofits in 2021, CEO Jordan serves on Operation HOPE and health-focused boards, and the company's CSR committee reports directly to the board [3][4]. The bank's expansion across the southeastern U.S. serves genuine community financial needs in a growing region.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sentiment is divided — the core banking teams are described as 'best in the business' with strong leadership, but post-TD merger integration created a 'dog-eat-dog' atmosphere in some areas, and Compliance reportedly has a 'fear culture' where speaking up risks elimination [3]. IT staff report unpaid overtime expectations (50-60 hour weeks reported as 40). The recent dividend increase to $0.17/quarter and $1.2B buyback signal confidence, but internal cultural healing from the failed TD deal remains ongoing [1][3].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Horizon competes against Regions Financial, Truist, and other southeastern super-regionals. The bank's 8.1% revenue beat (vs. 1.5% regional average) and 15% ROTCE demonstrate competitive superiority in the current cycle [1]. Being ranked No. 5 among Top 10 Most Reputable U.S. Banks provides a meaningful competitive moat in relationship banking, though larger peers have greater technology budgets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Horizon demonstrated existential flexibility by navigating the failed $13.4B TD Bank acquisition — pivoting from acquisition target to independent growth strategy, extracting a $225M termination fee, and using the capital to fund organic growth and buybacks [1]. The $100M+ PPNR improvement opportunity and mid-single-digit loan growth guidance show the bank can create value independently. However, the company remains fundamentally a traditional regional bank without transformative strategic optionality.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Jordan has led through significant adversity — the failed TD acquisition, COVID disruptions, and regional banking crisis concerns — while maintaining a community-focused strategy and increasing capital returns to shareholders [1][4]. The bank's Human Rights Statement and non-retaliation policies for whistleblowers demonstrate governance courage. However, the lack of a publicized AI strategy and mixed employee experience in some divisions suggest areas where bolder leadership is needed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Horizon is a well-managed southeastern regional bank trading at 9.5x forward earnings with a 3.1% dividend yield, delivering 8.1% revenue growth that beat consensus by 3.2% — roughly double the regional bank average beat [1][2]. The 2026 outlook is compelling: 3-7% revenue growth with flat expenses, positive operating leverage, a $100M+ PPNR improvement opportunity, and ROTCE already at 15% in H2 2025 [1]. The $1.2B share repurchase program (~$1B remaining) adds meaningful capital return upside.</w:t>
      </w:r>
    </w:p>
    <w:p>
      <w:pPr>
        <w:spacing w:after="120"/>
      </w:pPr>
      <w:r>
        <w:rPr>
          <w:rFonts w:ascii="Calibri" w:hAnsi="Calibri"/>
          <w:b w:val="0"/>
          <w:color w:val="3A4A28"/>
          <w:sz w:val="20"/>
        </w:rPr>
        <w:t>The bull case rests on First Horizon's strong southeastern franchise, reputation (No. 5 Most Reputable U.S. Bank), and disciplined execution under CEO Bryan Jordan's 15+ year tenure [3]. The bear case includes limited technology differentiation, post-merger cultural challenges, and the typical regional bank exposure to credit cycle deterioration and rate sensitivity [3]. At forward P/E of 9.5x with improving fundamentals and a 160-year operating history, FHN offers a reasonable risk-reward for income-oriented investors seeking quality regional bank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PPNR improvement of $100M+ from balance sheet optimization and positive operating leverage, with 3-7% revenue growth on flat expenses [1]</w:t>
      </w:r>
    </w:p>
    <w:p>
      <w:pPr>
        <w:spacing w:before="40" w:after="40"/>
        <w:ind w:left="283"/>
      </w:pPr>
      <w:r>
        <w:rPr>
          <w:rFonts w:ascii="Calibri" w:hAnsi="Calibri"/>
          <w:b/>
          <w:color w:val="4A6B25"/>
          <w:sz w:val="20"/>
        </w:rPr>
        <w:t xml:space="preserve">2. </w:t>
      </w:r>
      <w:r>
        <w:rPr>
          <w:rFonts w:ascii="Calibri" w:hAnsi="Calibri"/>
          <w:b w:val="0"/>
          <w:color w:val="3A4A28"/>
          <w:sz w:val="20"/>
        </w:rPr>
        <w:t>Share repurchase program with ~$1B remaining authorization, potentially retiring 9%+ of market cap at current prices, supplementing the 3.1% dividend yield [1]</w:t>
      </w:r>
    </w:p>
    <w:p>
      <w:pPr>
        <w:spacing w:before="40" w:after="40"/>
        <w:ind w:left="283"/>
      </w:pPr>
      <w:r>
        <w:rPr>
          <w:rFonts w:ascii="Calibri" w:hAnsi="Calibri"/>
          <w:b/>
          <w:color w:val="4A6B25"/>
          <w:sz w:val="20"/>
        </w:rPr>
        <w:t xml:space="preserve">3. </w:t>
      </w:r>
      <w:r>
        <w:rPr>
          <w:rFonts w:ascii="Calibri" w:hAnsi="Calibri"/>
          <w:b w:val="0"/>
          <w:color w:val="3A4A28"/>
          <w:sz w:val="20"/>
        </w:rPr>
        <w:t>Mid-single-digit loan growth in the growing southeastern U.S. footprint, supported by favorable demographic and business migration trends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 a southeastern economic slowdown or commercial real estate stress could drive provision increases that offset operating leverage gains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the 3-7% revenue guidance range reflects uncertainty around the rate path; a faster-than-expected rate decline could compress net interest margin [1]</w:t>
      </w:r>
    </w:p>
    <w:p>
      <w:pPr>
        <w:spacing w:before="40" w:after="40"/>
        <w:ind w:left="283"/>
      </w:pPr>
      <w:r>
        <w:rPr>
          <w:rFonts w:ascii="Calibri" w:hAnsi="Calibri"/>
          <w:b/>
          <w:color w:val="4A6B25"/>
          <w:sz w:val="20"/>
        </w:rPr>
        <w:t xml:space="preserve">3. </w:t>
      </w:r>
      <w:r>
        <w:rPr>
          <w:rFonts w:ascii="Calibri" w:hAnsi="Calibri"/>
          <w:b w:val="0"/>
          <w:color w:val="3A4A28"/>
          <w:sz w:val="20"/>
        </w:rPr>
        <w:t>Post-TD merger cultural healing remains incomplete — mixed Glassdoor reviews citing 'fear culture' and excessive overtime could impact talent retention and operational quality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both opportunities and moderate threats to First Horizon's regional banking model. On the opportunity side, AI-driven credit underwriting, fraud detection, and customer service automation could improve efficiency — especially as the bank guides flat expenses with growing revenue [1]. The threat is that fintech competitors and large-bank AI investments could erode First Horizon's competitive position in lending, payments, and wealth management over time. However, the bank's relationship-based southeastern footprint, physical branch network, and community trust provide insulation against pure digital disruptors. First Horizon has not publicized a formal AI strategy, which is a concern given peers' investments in the technology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Horizon Q4 2025 Earnings Release and 2026 Guidance; Simply Wall St valuation analysis; Seeking Alpha revenue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FHN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First Horizon Leadership — Bryan Jordan profile; Glassdoor work environment reviews; American Banker Top 10 Most Reputable Banks,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First Horizon CSR and ESG Impact Report; 'Here for Good' framework; Community investment disclosures,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First Horizon dividend history — Stock Analysis, Nasdaq, MacroTrends,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