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FIBK</w:t>
      </w:r>
      <w:r>
        <w:rPr>
          <w:rFonts w:ascii="Calibri" w:hAnsi="Calibri"/>
          <w:b/>
          <w:color w:val="1A2010"/>
          <w:sz w:val="40"/>
        </w:rPr>
        <w:t xml:space="preserve">  First Interstate BancSystem, Inc.</w:t>
      </w:r>
    </w:p>
    <w:p>
      <w:pPr>
        <w:spacing w:after="120"/>
      </w:pPr>
      <w:r>
        <w:rPr>
          <w:rFonts w:ascii="Calibri" w:hAnsi="Calibri"/>
          <w:b/>
          <w:color w:val="6E8450"/>
          <w:sz w:val="18"/>
        </w:rPr>
        <w:t>DIVIDEND SLEEVE · 2026-05-02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First Interstate BancSystem operates as a bank holding company for First Interstate Bank, providing banking products and services across Idaho, Montana, Oregon, South Dakota, Washington, and Wyoming including deposits, loans, wealth management, and digital banking services.</w:t>
      </w:r>
    </w:p>
    <w:p>
      <w:r>
        <w:rPr>
          <w:rFonts w:ascii="Calibri" w:hAnsi="Calibri"/>
          <w:b/>
          <w:color w:val="6E8450"/>
          <w:sz w:val="18"/>
        </w:rPr>
        <w:t>3,376 Employees · https://www.fibk.com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Interstate is pursuing AI and machine learning adoption to streamline operations, enhance risk management, and attract tech-savvy customers, but remains a traditional community bank without breakthrough innovation [4][5]. The company faces competitive pressure from fintechs and neobanks with lower overhead and more innovative digital offerings. Recent technology investments focus on operational efficiency rather than market-disrupting products.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3.6/5 is adequate but not exceptional, with employees praising benefits and coworkers while citing ineffective leadership, favoritism, and disconnect between decision-makers and front-line staff [3]. New CEO Jim Reuter (appointed November 2024) brings 37 years of banking experience and is described as fitting the company's culture of integrity. The community banking mission resonates locally but lacks inspirational differentiation.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Q1 2026 EPS of $0.61 beat estimates with net interest margin expanding for the 8th consecutive quarter to 3.41% [1][2]. Forward P/E of 12.0 and P/E of 11.6 represent attractive valuation for a regional bank with growing earnings. Dividend yield of 5.46% with 64% payout ratio is sustainable. Revenue growth of 34.4% reflects NIM expansion and loan growth. Liquidity: 1.21M × $35.45 = $42.9M daily turnover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First Interstate demonstrates mixed infinite game characteristics — strong community roots and multi-generational presence in Western states suggest long-term orientation, but leadership turnover and integration challenges from the 2022 Great Western acquisition indicate periodic finite thinking around quarterly metrics [1][3].</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Community banking mission of 'helping people and their money work better' is authentic for a bank serving rural Western communities for decades [3]. The First Interstate Foundation supports local communities, but the cause lacks the inspirational clarity of purpose-driven organizations. Adequate but conventional banking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a disconnect between leadership and front-line employees, with criticism of favoritism and inadequate recognition at the branch level [3]. New CEO Reuter may improve dynamics, but cultural integration challenges from the Great Western merger (2022) persist. Employee count of 3,376 suggests ongoing efficiency efforts that may strain trust.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Interstate competes against both traditional regional banks and emerging fintechs, maintaining awareness of competitive dynamics. The company's recent S&amp;P index inclusion suggests institutional recognition, but the bank must innovate faster to compete with digital-first competitors threatening its deposit base in less-served rural markets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2022 acquisition of Great Western demonstrated willingness to transform through M&amp;A, doubling the bank's footprint across the Mountain West. Technology adoption initiatives and wealth management expansion show strategic flexibility. However, the core business model remains traditional branch-based banking without radical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transition to Jim Reuter in late 2024 represents strategic succession rather than crisis management. The company maintained its dividend through banking sector stress in 2023 and invested in expansion rather than retreating. NIM expansion for 8 consecutive quarters demonstrates disciplined execution, though no bold industry-shaping moves are evident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Interstate BancSystem is a well-managed regional bank delivering consistent NIM expansion (8 consecutive quarters), attractive 5.5% dividend yield, and earnings recovery following the Great Western integration. At 12x forward earnings with a PEG of 1.16, the stock offers reasonable value for income-oriented investors seeking community bank exposure across growing Mountain West markets.</w:t>
      </w:r>
    </w:p>
    <w:p>
      <w:pPr>
        <w:spacing w:after="120"/>
      </w:pPr>
      <w:r>
        <w:rPr>
          <w:rFonts w:ascii="Calibri" w:hAnsi="Calibri"/>
          <w:b w:val="0"/>
          <w:color w:val="3A4A28"/>
          <w:sz w:val="20"/>
        </w:rPr>
        <w:t>The bull case rests on continued NIM expansion toward 3.5%+, loan growth in undersupplied rural markets, and potential for dividend increases as the payout ratio normalizes. However, the thesis is capped by moderate ROE (9%), fintech competitive pressures, and limited growth vectors beyond organic expansion. Best suited for dividend portfolios seeking stable income with modest capital appreciation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Net interest margin expanding for 8th consecutive quarter (3.41%) with management guiding further improvement through 2026</w:t>
      </w:r>
    </w:p>
    <w:p>
      <w:pPr>
        <w:spacing w:before="40" w:after="40"/>
        <w:ind w:left="283"/>
      </w:pPr>
      <w:r>
        <w:rPr>
          <w:rFonts w:ascii="Calibri" w:hAnsi="Calibri"/>
          <w:b/>
          <w:color w:val="4A6B25"/>
          <w:sz w:val="20"/>
        </w:rPr>
        <w:t xml:space="preserve">2. </w:t>
      </w:r>
      <w:r>
        <w:rPr>
          <w:rFonts w:ascii="Calibri" w:hAnsi="Calibri"/>
          <w:b w:val="0"/>
          <w:color w:val="3A4A28"/>
          <w:sz w:val="20"/>
        </w:rPr>
        <w:t>S&amp;P index inclusion broadening institutional investor base and improving liquidity</w:t>
      </w:r>
    </w:p>
    <w:p>
      <w:pPr>
        <w:spacing w:before="40" w:after="40"/>
        <w:ind w:left="283"/>
      </w:pPr>
      <w:r>
        <w:rPr>
          <w:rFonts w:ascii="Calibri" w:hAnsi="Calibri"/>
          <w:b/>
          <w:color w:val="4A6B25"/>
          <w:sz w:val="20"/>
        </w:rPr>
        <w:t xml:space="preserve">3. </w:t>
      </w:r>
      <w:r>
        <w:rPr>
          <w:rFonts w:ascii="Calibri" w:hAnsi="Calibri"/>
          <w:b w:val="0"/>
          <w:color w:val="3A4A28"/>
          <w:sz w:val="20"/>
        </w:rPr>
        <w:t>EPS growth trajectory from $0.49 to $0.61 YoY in Q1, with consensus forecasting $0.63-$0.68 in coming quarters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Fintech and neobank competition threatening deposit base in rural markets, particularly among younger demographics</w:t>
      </w:r>
    </w:p>
    <w:p>
      <w:pPr>
        <w:spacing w:before="40" w:after="40"/>
        <w:ind w:left="283"/>
      </w:pPr>
      <w:r>
        <w:rPr>
          <w:rFonts w:ascii="Calibri" w:hAnsi="Calibri"/>
          <w:b/>
          <w:color w:val="4A6B25"/>
          <w:sz w:val="20"/>
        </w:rPr>
        <w:t xml:space="preserve">2. </w:t>
      </w:r>
      <w:r>
        <w:rPr>
          <w:rFonts w:ascii="Calibri" w:hAnsi="Calibri"/>
          <w:b w:val="0"/>
          <w:color w:val="3A4A28"/>
          <w:sz w:val="20"/>
        </w:rPr>
        <w:t>Credit quality deterioration risk if Mountain West commercial real estate or agricultural markets weaken</w:t>
      </w:r>
    </w:p>
    <w:p>
      <w:pPr>
        <w:spacing w:before="40" w:after="40"/>
        <w:ind w:left="283"/>
      </w:pPr>
      <w:r>
        <w:rPr>
          <w:rFonts w:ascii="Calibri" w:hAnsi="Calibri"/>
          <w:b/>
          <w:color w:val="4A6B25"/>
          <w:sz w:val="20"/>
        </w:rPr>
        <w:t xml:space="preserve">3. </w:t>
      </w:r>
      <w:r>
        <w:rPr>
          <w:rFonts w:ascii="Calibri" w:hAnsi="Calibri"/>
          <w:b w:val="0"/>
          <w:color w:val="3A4A28"/>
          <w:sz w:val="20"/>
        </w:rPr>
        <w:t>Limited organic growth opportunities in sparsely populated Western markets may cap long-term earnings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Regional banking faces moderate AI disruption risk from fintech competitors and neobanks operating without physical branch overhead, offering more competitive rates and innovative digital experiences [4]. First Interstate acknowledges this threat in its 10-K filing and is investing in AI/ML capabilities, but smaller community banks may struggle to match the technology budgets of larger institutions. The relationship-based model in rural Western markets provides some insulation, but younger demographics increasingly prefer digital-first banking.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Interstate BancSystem Q1 2026 Earnings Release, April 2026</w:t>
      </w:r>
    </w:p>
    <w:p>
      <w:pPr>
        <w:spacing w:before="20" w:after="20"/>
        <w:ind w:left="170"/>
      </w:pPr>
      <w:r>
        <w:rPr>
          <w:rFonts w:ascii="Calibri" w:hAnsi="Calibri"/>
          <w:b/>
          <w:color w:val="4A6B25"/>
          <w:sz w:val="15"/>
        </w:rPr>
        <w:t xml:space="preserve">2. </w:t>
      </w:r>
      <w:r>
        <w:rPr>
          <w:rFonts w:ascii="Calibri" w:hAnsi="Calibri"/>
          <w:b w:val="0"/>
          <w:color w:val="3A4A28"/>
          <w:sz w:val="17"/>
        </w:rPr>
        <w:t>Investing.com — First Interstate BancSystem Q1 2026 Earnings Call Transcript,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 First Interstate Reviews (253 reviews),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First Interstate BancSystem 10-K Filing — AI and technology strategy, 2025</w:t>
      </w:r>
    </w:p>
    <w:p>
      <w:pPr>
        <w:spacing w:before="20" w:after="20"/>
        <w:ind w:left="170"/>
      </w:pPr>
      <w:r>
        <w:rPr>
          <w:rFonts w:ascii="Calibri" w:hAnsi="Calibri"/>
          <w:b/>
          <w:color w:val="4A6B25"/>
          <w:sz w:val="15"/>
        </w:rPr>
        <w:t xml:space="preserve">5. </w:t>
      </w:r>
      <w:r>
        <w:rPr>
          <w:rFonts w:ascii="Calibri" w:hAnsi="Calibri"/>
          <w:b w:val="0"/>
          <w:color w:val="3A4A28"/>
          <w:sz w:val="17"/>
        </w:rPr>
        <w:t>Simply Wall St — First Interstate BancSystem NIM and profitability analysis, May 2026</w:t>
      </w:r>
    </w:p>
    <w:p>
      <w:pPr>
        <w:spacing w:before="20" w:after="20"/>
        <w:ind w:left="170"/>
      </w:pPr>
      <w:r>
        <w:rPr>
          <w:rFonts w:ascii="Calibri" w:hAnsi="Calibri"/>
          <w:b/>
          <w:color w:val="4A6B25"/>
          <w:sz w:val="15"/>
        </w:rPr>
        <w:t xml:space="preserve">6. </w:t>
      </w:r>
      <w:r>
        <w:rPr>
          <w:rFonts w:ascii="Calibri" w:hAnsi="Calibri"/>
          <w:b w:val="0"/>
          <w:color w:val="3A4A28"/>
          <w:sz w:val="17"/>
        </w:rPr>
        <w:t>Sustainalytics — First Interstate BancSystem ESG Risk Rating, accessed May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FIBK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