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FIGR</w:t>
      </w:r>
      <w:r>
        <w:rPr>
          <w:rFonts w:ascii="Calibri" w:hAnsi="Calibri"/>
          <w:b/>
          <w:color w:val="1A2010"/>
          <w:sz w:val="40"/>
        </w:rPr>
        <w:t xml:space="preserve">  Figure Technology Solutions, Inc.</w:t>
      </w:r>
    </w:p>
    <w:p>
      <w:pPr>
        <w:spacing w:after="120"/>
      </w:pPr>
      <w:r>
        <w:rPr>
          <w:rFonts w:ascii="Calibri" w:hAnsi="Calibri"/>
          <w:b/>
          <w:color w:val="6E8450"/>
          <w:sz w:val="18"/>
        </w:rPr>
        <w:t>GROWTH SLEEVE · 2026-03-31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Figure Technology Solutions is a financial technology company that develops blockchain-based products and solutions for lending, trading, and capital markets. The company operates Figure Connect, a distribution marketplace for consumer credit and digital assets, and owns Provenance Blockchain, which holds approximately 75% market share in tokenized private credit. Products include HELOCs, cash-out refinance, DSCR loans, the YLDS SEC-registered yield-bearing stablecoin, and Democratized Prime on-chain financing.</w:t>
      </w:r>
    </w:p>
    <w:p>
      <w:r>
        <w:rPr>
          <w:rFonts w:ascii="Calibri" w:hAnsi="Calibri"/>
          <w:b/>
          <w:color w:val="6E8450"/>
          <w:sz w:val="18"/>
        </w:rPr>
        <w:t>602 Employees · https://www.figure.com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Figure has executed multiple significant launches since its 2018 founding — first consumer loans on blockchain, the YLDS SEC-approved yield-bearing stablecoin, and Democratized Prime which grew nearly 10x quarter-over-quarter from $20M to over $200B in matched offers [1]. Named to Fast Company's Most Innovative Companies in 2024 and 2025 [2]. AI Deployment (1/2): The platform leverages AI and advanced analytics for loan origination, enabling capital access in as few as five days, though AI is supplementary to the core blockchain innovation [2]. Market Share (2/2): Provenance Blockchain holds approximately 75% market share in tokenized real-world assets, with $50B+ in cumulative blockchain transactions and Q4 marketplace volume of $2.7B (+131% YoY) [1]. Pipeline (1/2): Clear 2026 roadmap including first-lien mortgage expansion, Agora auto finance partnership, SMB lending, and the OPEN network aiming to replace DTC clearing infrastructure, though timelines are aspirational [1]. R&amp;D Intensity (1/1): High R&amp;D intensity relative to fintech peers, building proprietary blockchain infrastructure (DART, Provenance) alongside lending products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Figure's stated purpose is 'Building the future of capital markets with blockchain' — clear and specific about what the company does but not deeply inspirational beyond the industry it serves [2]. It identifies a technical vision rather than a transformative societal purpose. Community Impact (1/2): The company employs 602 people and has created a marketplace connecting 78+ originating partners with capital markets participants, broadening financial access [1]. No significant charitable or philanthropic programs documented. Employee Retention (1/2): Small team of 602 with a culture emphasizing 'shared vision, disciplined rigor and relentless execution' per CEO Tannenbaum [2]. Named to innovation lists suggesting talent attraction, but limited public retention data. Insider Buying (1/2): Company announced a $200M share repurchase program in early 2026, signaling management confidence, though this is corporate-level rather than personal insider buying [1]. IPO lock-up agreements recently expired, creating selling pressure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Figure's financial profile is exceptional for a recently-IPO'd fintech. Full-year 2025 revenue of $434.5M with 99.1% YoY growth and adjusted net revenue of $506.9M with $133.9M net income demonstrate rapid, profitable scaling [1]. Forward P/E of 24.4x is reasonable for triple-digit revenue growth. D/E of 76.5% is manageable for a lending business. ROE of 16.8% exceeds the 15% target. Profit margin of 31.0% reflects efficient marketplace economics with adjusted EBITDA margins of 43% tracking toward management's 60%+ long-term target [1]. Revenue 2yr CAGR of 61.3% ($166.9M in 2023 to $434.5M in 2025) far exceeds growth targets. PEG ratio unavailable but excluded from calculation. Liquidity floor easily cleared: 5.6M avg volume x $30.71 = $172.3M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Figure plays with a clear long-term vision — replacing legacy financial infrastructure with blockchain — but as a young company (founded 2018), it has not yet been tested through multiple market cycles. The vision is ambitious and purpose-driven, but the company's execution track record is still being established under relatively new public company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Figure articulates a genuine cause: democratizing capital markets through blockchain, reducing the seven intermediaries in stock transactions to two, and unlocking trillions in market capitalization trapped by inefficient infrastructure [1][2]. Founder Mike Cagney's vision of 'displacing trust with truth' through blockchain is distinctive and has shaped every product decision. However, the cause has not been tested through crisis or multi-decade consistency — the company is only 8 years old.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Michael Tannenbaum brings credible leadership experience from Brex and SoFi, and the small 602-person team suggests a focused culture [2]. The company emphasizes 'shared vision, disciplined rigor and relentless execution.' However, the founder transition from Cagney (now Executive Chairman) to Tannenbaum as CEO represents a leadership handoff that is still maturing, and limited public data exists on internal culture.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Figure acknowledges the traditional financial infrastructure (DTC, clearinghouses, banks) as worthy rivals whose scale and entrenchment push Figure to build better products [1]. The company explicitly positions itself as improving upon rather than simply destroying legacy systems, evidenced by the OPEN network designed to replace DTC clearing with blockchain rails while maintaining institutional trust.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Figure has shown incremental flexibility — expanding from HELOCs into auto finance, SMB lending, first-lien mortgages, and digital asset trading [1]. The merger of Figure Technology Solutions and Figure Markets in 2025 consolidated the product suite. However, these are extensions within the same blockchain-fintech thesis rather than transformative pivots. The company has not yet faced an existential test requiring true strategic reinvention.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Figure demonstrated courage by building on Provenance Blockchain when most fintech competitors chose conventional technology stacks, and by pursuing SEC registration for YLDS when the regulatory path was uncertain [1][2]. The decision to go public via traditional IPO rather than a SPAC showed discipline. However, the company has not faced a downturn requiring sacrifice of near-term results for long-term vision.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Figure Technology Solutions is building the infrastructure layer for blockchain-based capital markets, with 75% market share in tokenized private credit and explosive growth — Q4 2025 marketplace volume of $2.7B (+131% YoY), full-year adjusted net revenue of $506.9M, and $133.9M net income [1]. At 24.4x forward P/E with 99% revenue growth and 31% profit margins trending toward management's 60%+ EBITDA margin target, Figure is reasonably valued for its growth trajectory. The 2026 product roadmap — first-lien mortgages, auto finance via Agora, and the OPEN network replacing DTC clearing — provides multiple expansion vectors [1]. The $200M buyback program and IPO proceeds of $787.5M provide capital flexibility [1][3].</w:t>
      </w:r>
    </w:p>
    <w:p>
      <w:pPr>
        <w:spacing w:after="120"/>
      </w:pPr>
      <w:r>
        <w:rPr>
          <w:rFonts w:ascii="Calibri" w:hAnsi="Calibri"/>
          <w:b w:val="0"/>
          <w:color w:val="3A4A28"/>
          <w:sz w:val="20"/>
        </w:rPr>
        <w:t>The bear case centers on execution risk and competitive threats. Figure's blockchain infrastructure thesis requires institutional adoption at scale — if traditional finance firms build competing tokenization platforms (JPMorgan's Onyx, Goldman's GS DAP), Figure's first-mover advantage could erode [2]. The January 2026 data breach exposing nearly 1 million customers' SSNs and personal data represents a significant reputational and legal risk, with class-action lawsuits and ShinyHunters claiming responsibility [3]. Founder Mike Cagney's departure from SoFi amid harassment allegations creates ongoing governance scrutiny [3]. Revenue concentration in HELOCs makes Figure sensitive to interest rate movements and housing market conditions. The stock has declined 25% from IPO highs, reflecting market skepticism about blockchain-fintech premiums in a rising rate environment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First-lien mortgage expansion in 2026, potentially opening the largest consumer lending market ($12T outstanding) to Figure's blockchain marketplace [1]</w:t>
      </w:r>
    </w:p>
    <w:p>
      <w:pPr>
        <w:spacing w:before="40" w:after="40"/>
        <w:ind w:left="283"/>
      </w:pPr>
      <w:r>
        <w:rPr>
          <w:rFonts w:ascii="Calibri" w:hAnsi="Calibri"/>
          <w:b/>
          <w:color w:val="4A6B25"/>
          <w:sz w:val="20"/>
        </w:rPr>
        <w:t xml:space="preserve">2. </w:t>
      </w:r>
      <w:r>
        <w:rPr>
          <w:rFonts w:ascii="Calibri" w:hAnsi="Calibri"/>
          <w:b w:val="0"/>
          <w:color w:val="3A4A28"/>
          <w:sz w:val="20"/>
        </w:rPr>
        <w:t>OPEN network launch aiming to replace DTC clearing infrastructure, which if adopted could dramatically expand Figure's addressable market from consumer lending to all securities settlement [1]</w:t>
      </w:r>
    </w:p>
    <w:p>
      <w:pPr>
        <w:spacing w:before="40" w:after="40"/>
        <w:ind w:left="283"/>
      </w:pPr>
      <w:r>
        <w:rPr>
          <w:rFonts w:ascii="Calibri" w:hAnsi="Calibri"/>
          <w:b/>
          <w:color w:val="4A6B25"/>
          <w:sz w:val="20"/>
        </w:rPr>
        <w:t xml:space="preserve">3. </w:t>
      </w:r>
      <w:r>
        <w:rPr>
          <w:rFonts w:ascii="Calibri" w:hAnsi="Calibri"/>
          <w:b w:val="0"/>
          <w:color w:val="3A4A28"/>
          <w:sz w:val="20"/>
        </w:rPr>
        <w:t>Democratized Prime on-chain financing marketplace growing from $20M to $200B+ in matched offers, with 1,000+ active participants indicating network effect acceleration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January 2026 data breach affecting nearly 1 million customers exposed SSNs, emails, and loan details — ShinyHunters claimed responsibility and class-action lawsuits have been filed, creating material legal and reputational liability [3]</w:t>
      </w:r>
    </w:p>
    <w:p>
      <w:pPr>
        <w:spacing w:before="40" w:after="40"/>
        <w:ind w:left="283"/>
      </w:pPr>
      <w:r>
        <w:rPr>
          <w:rFonts w:ascii="Calibri" w:hAnsi="Calibri"/>
          <w:b/>
          <w:color w:val="4A6B25"/>
          <w:sz w:val="20"/>
        </w:rPr>
        <w:t xml:space="preserve">2. </w:t>
      </w:r>
      <w:r>
        <w:rPr>
          <w:rFonts w:ascii="Calibri" w:hAnsi="Calibri"/>
          <w:b w:val="0"/>
          <w:color w:val="3A4A28"/>
          <w:sz w:val="20"/>
        </w:rPr>
        <w:t>Institutional adoption risk — blockchain-based capital markets require banks, asset managers, and regulators to change entrenched workflows, and competing tokenization platforms from JPMorgan and Goldman Sachs could limit Figure's TAM [2]</w:t>
      </w:r>
    </w:p>
    <w:p>
      <w:pPr>
        <w:spacing w:before="40" w:after="40"/>
        <w:ind w:left="283"/>
      </w:pPr>
      <w:r>
        <w:rPr>
          <w:rFonts w:ascii="Calibri" w:hAnsi="Calibri"/>
          <w:b/>
          <w:color w:val="4A6B25"/>
          <w:sz w:val="20"/>
        </w:rPr>
        <w:t xml:space="preserve">3. </w:t>
      </w:r>
      <w:r>
        <w:rPr>
          <w:rFonts w:ascii="Calibri" w:hAnsi="Calibri"/>
          <w:b w:val="0"/>
          <w:color w:val="3A4A28"/>
          <w:sz w:val="20"/>
        </w:rPr>
        <w:t>HELOC concentration and interest rate sensitivity — rising rates compress HELOC demand and home equity values, potentially slowing Figure's core marketplace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Figure's core blockchain infrastructure and lending marketplace face moderate AI disruption risk. AI-powered lending platforms (e.g., Upstart, traditional bank AI underwriting) could erode Figure's origination advantages if they achieve similar speed and cost efficiency without blockchain [2]. However, Figure's moat is primarily in blockchain infrastructure (Provenance) and tokenization, which AI does not directly substitute — these are complementary technologies. The 75% market share in tokenized private credit and regulatory approvals (SEC-registered YLDS stablecoin) create switching costs [1]. Risk comes from AI enabling competitors to build alternative digital lending platforms faster. AI Opportunity (1/1): Figure actively deploys AI and advanced analytics for loan origination and credit decisioning, enabling 5-day capital access that drives marketplace throughput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Figure Technology Solutions Q4 2025 Earnings Call and Full-Year Results — $506.9M adjusted net revenue, $2.7B Q4 marketplace volume, February 2026</w:t>
      </w:r>
    </w:p>
    <w:p>
      <w:pPr>
        <w:spacing w:before="20" w:after="20"/>
        <w:ind w:left="170"/>
      </w:pPr>
      <w:r>
        <w:rPr>
          <w:rFonts w:ascii="Calibri" w:hAnsi="Calibri"/>
          <w:b/>
          <w:color w:val="4A6B25"/>
          <w:sz w:val="15"/>
        </w:rPr>
        <w:t xml:space="preserve">2. </w:t>
      </w:r>
      <w:r>
        <w:rPr>
          <w:rFonts w:ascii="Calibri" w:hAnsi="Calibri"/>
          <w:b w:val="0"/>
          <w:color w:val="3A4A28"/>
          <w:sz w:val="17"/>
        </w:rPr>
        <w:t>Figure Technology Solutions company profile, Fast Company Most Innovative Companies 2024-2025, CEO Michael Tannenbaum background</w:t>
      </w:r>
    </w:p>
    <w:p>
      <w:pPr>
        <w:spacing w:before="20" w:after="20"/>
        <w:ind w:left="170"/>
      </w:pPr>
      <w:r>
        <w:rPr>
          <w:rFonts w:ascii="Calibri" w:hAnsi="Calibri"/>
          <w:b/>
          <w:color w:val="4A6B25"/>
          <w:sz w:val="15"/>
        </w:rPr>
        <w:t xml:space="preserve">3. </w:t>
      </w:r>
      <w:r>
        <w:rPr>
          <w:rFonts w:ascii="Calibri" w:hAnsi="Calibri"/>
          <w:b w:val="0"/>
          <w:color w:val="3A4A28"/>
          <w:sz w:val="17"/>
        </w:rPr>
        <w:t>CPO Magazine, ClassAction.org — Figure data breach affecting nearly 1M people, ShinyHunters, February 2026; Wikipedia — founder Mike Cagney background</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FIGR,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