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FIGS</w:t>
      </w:r>
      <w:r>
        <w:rPr>
          <w:rFonts w:ascii="Calibri" w:hAnsi="Calibri"/>
          <w:b/>
          <w:color w:val="1A2010"/>
          <w:sz w:val="40"/>
        </w:rPr>
        <w:t xml:space="preserve">  FIGS, Inc.</w:t>
      </w:r>
    </w:p>
    <w:p>
      <w:pPr>
        <w:spacing w:after="120"/>
      </w:pPr>
      <w:r>
        <w:rPr>
          <w:rFonts w:ascii="Calibri" w:hAnsi="Calibri"/>
          <w:b/>
          <w:color w:val="6E8450"/>
          <w:sz w:val="18"/>
        </w:rPr>
        <w:t>GROWTH SLEEVE · 2026-04-08 · Inspire: 17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Apparel Manufacturing · NYQ · United States</w:t>
      </w:r>
    </w:p>
    <w:p>
      <w:pPr>
        <w:spacing w:after="80"/>
      </w:pPr>
      <w:r>
        <w:rPr>
          <w:rFonts w:ascii="Calibri" w:hAnsi="Calibri"/>
          <w:b w:val="0"/>
          <w:color w:val="3A4A28"/>
          <w:sz w:val="20"/>
        </w:rPr>
        <w:t>FIGS, Inc. is a direct-to-consumer healthcare apparel company that designs and sells premium scrubs, lab coats, and accessories for healthcare professionals. The company posted $631.1M in 2025 sales with Q4 revenue surging 33% YoY.</w:t>
      </w:r>
    </w:p>
    <w:p>
      <w:r>
        <w:rPr>
          <w:rFonts w:ascii="Calibri" w:hAnsi="Calibri"/>
          <w:b/>
          <w:color w:val="6E8450"/>
          <w:sz w:val="18"/>
        </w:rPr>
        <w:t>330 Employees · https://www.wearfigs.com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Q4 2025 revenue surged 33% YoY to $201.9M, capping a 14% full-year growth to $631.1M despite tariff headwinds [1]. Successfully built a premium DTC brand in a previously commoditized healthcare apparel category. AI Deployment (0/2): No AI products. Market Share (2/2): Category creator and leader in premium healthcare scrubs — FIGS effectively defined and dominates the premium healthcare apparel market [1]. Pipeline (1/2): 2026 guidance of 10-12% revenue growth with Q1 low-20% range; expanding product categories. R&amp;D Intensity (1/1): Above-average investment in fabric technology and design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Genuine mission to celebrate and serve healthcare workers through premium apparel — specific, thoughtful, and differentiated from generic apparel companies [1]. Community Impact (1/2): Healthcare worker support programs and community engagement. Employee Retention (1/2): 330 employees with passionate healthcare-focused culture. Insider Buying (1/2): Co-founders maintain significant equity positions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FIGS shows mixed financial metrics. Revenue growth of 33% in Q4 and 14% full-year is strong, but forward P/E of 45.44 is expensive [1]. Profit margin of 5.4% is well below the 20% target, though improving toward 7.6-7.9% operating margin guidance for 2026. Gross margin of 66.5% is excellent for apparel. D/E of 13.7% is very conservative. ROE of 8.4% is below target. Tariff headwinds of ~330 bps expected in 2026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FIGS plays a genuine infinite game through its authentic mission to serve healthcare workers. The co-founders built the company on a Just Cause — celebrating the people who save lives — and this purpose drives product decisions and brand loyalty.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Genuine cause (2 pts → 7/10): Celebrating and serving healthcare professionals through premium apparel is a genuine purpose that has been validated by the brand's loyal community and mission-driven product development [1].</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Adequate trust (1 pt → 6/10): 330-person team with mission-driven culture; co-founders provide consistent leadership [1].</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Infinite (1 pt → 10/10): FIGS acknowledges traditional scrub companies and new DTC entrants, using competition to improve quality and expand categories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Some flexibility (1 pt → 6/10): Expanded from scrubs into lab coats, outerwear, footwear, and accessories — extending the mission to serve healthcare workers more comprehensively [1].</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standout courage (0 pts → 2/10): Growth has been relatively smooth without major sacrificial decisions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FIGS is the category creator and leader in premium healthcare apparel, delivering 33% Q4 revenue growth to $201.9M and guiding 10-12% growth in 2026 with expanding margins [1]. 66.5% gross margin demonstrates exceptional pricing power in healthcare apparel. Net income of $34.3M on $631.1M sales shows the path to profitability is materializing. The brand has genuine mission-driven loyalty among healthcare professionals [1].</w:t>
      </w:r>
    </w:p>
    <w:p>
      <w:pPr>
        <w:spacing w:after="120"/>
      </w:pPr>
      <w:r>
        <w:rPr>
          <w:rFonts w:ascii="Calibri" w:hAnsi="Calibri"/>
          <w:b w:val="0"/>
          <w:color w:val="3A4A28"/>
          <w:sz w:val="20"/>
        </w:rPr>
        <w:t>The bear case centers on valuation and margin pressure. Forward P/E of 45.44 prices in aggressive growth continuation [1]. Profit margin of 5.4% is thin and tariff headwinds of ~330 bps in 2026 could pressure profitability. The healthcare apparel TAM, while growing, is not unlimited. Competition from both traditional scrub companies and new DTC entrants is increasing. International expansion execution risk remains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Margin expansion toward 7.6-7.9% operating margin in 2026 from 6% in 2025 [1]</w:t>
      </w:r>
    </w:p>
    <w:p>
      <w:pPr>
        <w:spacing w:before="40" w:after="40"/>
        <w:ind w:left="283"/>
      </w:pPr>
      <w:r>
        <w:rPr>
          <w:rFonts w:ascii="Calibri" w:hAnsi="Calibri"/>
          <w:b/>
          <w:color w:val="4A6B25"/>
          <w:sz w:val="20"/>
        </w:rPr>
        <w:t xml:space="preserve">2. </w:t>
      </w:r>
      <w:r>
        <w:rPr>
          <w:rFonts w:ascii="Calibri" w:hAnsi="Calibri"/>
          <w:b w:val="0"/>
          <w:color w:val="3A4A28"/>
          <w:sz w:val="20"/>
        </w:rPr>
        <w:t>Q1 2026 guidance of low-20% revenue growth sustaining momentum from Q4's 33% surge [1]</w:t>
      </w:r>
    </w:p>
    <w:p>
      <w:pPr>
        <w:spacing w:before="40" w:after="40"/>
        <w:ind w:left="283"/>
      </w:pPr>
      <w:r>
        <w:rPr>
          <w:rFonts w:ascii="Calibri" w:hAnsi="Calibri"/>
          <w:b/>
          <w:color w:val="4A6B25"/>
          <w:sz w:val="20"/>
        </w:rPr>
        <w:t xml:space="preserve">3. </w:t>
      </w:r>
      <w:r>
        <w:rPr>
          <w:rFonts w:ascii="Calibri" w:hAnsi="Calibri"/>
          <w:b w:val="0"/>
          <w:color w:val="3A4A28"/>
          <w:sz w:val="20"/>
        </w:rPr>
        <w:t>Product category expansion into footwear, outerwear, and accessories growing wallet share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Tariff headwinds of ~330 bps impact on 2026 margins requiring mitigation through pricing [1]</w:t>
      </w:r>
    </w:p>
    <w:p>
      <w:pPr>
        <w:spacing w:before="40" w:after="40"/>
        <w:ind w:left="283"/>
      </w:pPr>
      <w:r>
        <w:rPr>
          <w:rFonts w:ascii="Calibri" w:hAnsi="Calibri"/>
          <w:b/>
          <w:color w:val="4A6B25"/>
          <w:sz w:val="20"/>
        </w:rPr>
        <w:t xml:space="preserve">2. </w:t>
      </w:r>
      <w:r>
        <w:rPr>
          <w:rFonts w:ascii="Calibri" w:hAnsi="Calibri"/>
          <w:b w:val="0"/>
          <w:color w:val="3A4A28"/>
          <w:sz w:val="20"/>
        </w:rPr>
        <w:t>Valuation risk — forward P/E of 45.44 assumes sustained high growth [1]</w:t>
      </w:r>
    </w:p>
    <w:p>
      <w:pPr>
        <w:spacing w:before="40" w:after="40"/>
        <w:ind w:left="283"/>
      </w:pPr>
      <w:r>
        <w:rPr>
          <w:rFonts w:ascii="Calibri" w:hAnsi="Calibri"/>
          <w:b/>
          <w:color w:val="4A6B25"/>
          <w:sz w:val="20"/>
        </w:rPr>
        <w:t xml:space="preserve">3. </w:t>
      </w:r>
      <w:r>
        <w:rPr>
          <w:rFonts w:ascii="Calibri" w:hAnsi="Calibri"/>
          <w:b w:val="0"/>
          <w:color w:val="3A4A28"/>
          <w:sz w:val="20"/>
        </w:rPr>
        <w:t>Competition intensifying from traditional brands and new DTC healthcare apparel entrants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Healthcare apparel involves physical product design, manufacturing, and distribution that AI cannot fully displace [1]. However, AI-powered competitors could use generative design and personalization to challenge FIGS' premium positioning. The DTC model and brand loyalty provide some protection. AI Opportunity (1/1): FIGS uses data analytics and AI for customer personalization, inventory optimization, and demand forecasting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17</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FIGS Q4/FY2025 Results — $631.1M sales, $34.3M net income, Q4 +33%, 66.5% gross margin, March 2026</w:t>
      </w:r>
    </w:p>
    <w:p>
      <w:pPr>
        <w:spacing w:before="20" w:after="20"/>
        <w:ind w:left="170"/>
      </w:pPr>
      <w:r>
        <w:rPr>
          <w:rFonts w:ascii="Calibri" w:hAnsi="Calibri"/>
          <w:b/>
          <w:color w:val="4A6B25"/>
          <w:sz w:val="15"/>
        </w:rPr>
        <w:t xml:space="preserve">2. </w:t>
      </w:r>
      <w:r>
        <w:rPr>
          <w:rFonts w:ascii="Calibri" w:hAnsi="Calibri"/>
          <w:b w:val="0"/>
          <w:color w:val="3A4A28"/>
          <w:sz w:val="17"/>
        </w:rPr>
        <w:t>FIGS 2026 Guidance — 10-12% revenue growth, 7.6-7.9% operating margin, ~330bps tariff headwind</w:t>
      </w:r>
    </w:p>
    <w:p>
      <w:pPr>
        <w:spacing w:before="20" w:after="20"/>
        <w:ind w:left="170"/>
      </w:pPr>
      <w:r>
        <w:rPr>
          <w:rFonts w:ascii="Calibri" w:hAnsi="Calibri"/>
          <w:b/>
          <w:color w:val="4A6B25"/>
          <w:sz w:val="15"/>
        </w:rPr>
        <w:t xml:space="preserve">3. </w:t>
      </w:r>
      <w:r>
        <w:rPr>
          <w:rFonts w:ascii="Calibri" w:hAnsi="Calibri"/>
          <w:b w:val="0"/>
          <w:color w:val="3A4A28"/>
          <w:sz w:val="17"/>
        </w:rPr>
        <w:t>Yahoo Finance / yfinance data for FIGS, retrieved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