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FIP</w:t>
      </w:r>
      <w:r>
        <w:rPr>
          <w:rFonts w:ascii="Calibri" w:hAnsi="Calibri"/>
          <w:b/>
          <w:color w:val="1A2010"/>
          <w:sz w:val="40"/>
        </w:rPr>
        <w:t xml:space="preserve">  FTAI Infrastructure Inc.</w:t>
      </w:r>
    </w:p>
    <w:p>
      <w:pPr>
        <w:spacing w:after="120"/>
      </w:pPr>
      <w:r>
        <w:rPr>
          <w:rFonts w:ascii="Calibri" w:hAnsi="Calibri"/>
          <w:b/>
          <w:color w:val="6E8450"/>
          <w:sz w:val="18"/>
        </w:rPr>
        <w:t>GROWTH SLEEVE · 2026-05-05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NASDAQ · United States</w:t>
      </w:r>
    </w:p>
    <w:p>
      <w:pPr>
        <w:spacing w:after="80"/>
      </w:pPr>
      <w:r>
        <w:rPr>
          <w:rFonts w:ascii="Calibri" w:hAnsi="Calibri"/>
          <w:b w:val="0"/>
          <w:color w:val="3A4A28"/>
          <w:sz w:val="20"/>
        </w:rPr>
        <w:t>FTAI Infrastructure Inc. acquires, develops, and operates infrastructure assets in the transportation, energy, and industrial products industries in North America. It operates through Railroad, Ports and Terminals, Power and Gas, and Sustainability and Energy Transition segments, including Jefferson Terminal (crude import/export), Repauno Port &amp; Rail Terminal, Long Ridge Energy Terminal, and a short-line railroad.</w:t>
      </w:r>
    </w:p>
    <w:p>
      <w:r>
        <w:rPr>
          <w:rFonts w:ascii="Calibri" w:hAnsi="Calibri"/>
          <w:b/>
          <w:color w:val="6E8450"/>
          <w:sz w:val="18"/>
        </w:rPr>
        <w:t>1,110 Employees · https://www.fipinc.com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FTAI Infrastructure was spun off from FTAI Aviation in August 2022 and has grown revenue from $262M to $503M by 2025, a near-doubling driven by Jefferson Terminal crude import expansion and new ammonia contracts [1]. The Repauno Phase 2 construction targeting mechanical completion fall 2026 represents a significant new revenue stream [1]. AI Deployment (0/2): No evidence of AI-powered products or AI-driven operational savings in infrastructure operations. Market Share (1/2): Jefferson Terminal holds a meaningful position in Gulf Coast crude import/export logistics, though it is not a category leader [1]. Pipeline (1/2): Repauno Phase 2 commissioning targeted Q1 2027, Long Ridge monetization planned for 2026, and new ammonia contracts provide specific pipeline visibility [1]. R&amp;D Intensity (1/1): Capital-intensive infrastructure development with over $200M invested in Repauno expansion represents above-average reinvestment for the infrastructure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FTAI Infrastructure's purpose centers on 'developing critical infrastructure for the energy transition and transportation industries' — clear about what they do and for whom, but not distinctive or deeply purposeful beyond industry standard [2]. Community Impact (1/2): The company supports local economic development through port and terminal jobs in underserved Gulf Coast areas, employing 1,110 workers across its infrastructure assets [2]. Employee Retention (0/2): No public data available on employee turnover or tenure metrics for this relatively small, recently spun-off entity. Insider Buying (1/2): Limited insider transaction data available post-spin-off, though management holds equity stakes aligned with shareholder interests through the spin-off structure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FIP's financial profile reflects an early-stage infrastructure platform with heavy leverage and no profitability yet. D/E of 408% far exceeds the 70% target, reflecting $3.85B in debt against a $626M market cap [3]. ROE is deeply negative at -36% and profit margin is -41.3%, as the company burns cash building out its terminal and port assets [3]. Revenue growth is exceptional at 77.7% YoY ($503M in 2025 vs $331M in 2024) and 3-year CAGR of 24% [1]. Forward P/E is negative (unprofitable), contributing zero to the score. Liquidity floor passes: 1.0M avg vol x $5.30 = $5.3M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FTAI Infrastructure is a young company (spun off 2022) playing a long-duration infrastructure game with 20-30 year asset lives, but lacks the track record to validate infinite game thinking. The multi-decade investments in terminals and ports suggest long-term orientation, though the company is still proving its cause beyond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FTAI Infrastructure's implicit cause — building critical North American energy and transportation infrastructure — is service-oriented and long-duration but has not been tested through crisis or validated over decades [2]. The company is only 3 years old as an independent entity, making it impossible to assess multi-cycle consistency. Score reflects a genuine cause that exists but is too new to be validated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1,110 employees across dispersed infrastructure sites, FTAI Infrastructure operates lean teams managing complex physical assets [2]. The company retained experienced operators through the spin-off from FTAI Aviation, and CEO Ken Nicholson has led since inception. No evidence of cultural dysfunction or high turnover, but also no standout trust indicators. Score reflects adequate trust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in management commentary of acknowledging competitors' strengths or using competitive pressure as self-improvement motivation [2]. The company operates in niche infrastructure markets with limited direct competition, but competitive language focuses on 'monetizing' assets rather than learning from peers. Score reflects finite competitive mindset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Sustainability and Energy Transition segment represents meaningful strategic evolution — pivoting from pure fossil fuel infrastructure toward ammonia and energy transition assets [1]. This is incremental rather than transformative, but demonstrates willingness to evolve the business model. Score reflects some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FTAI Infrastructure has invested heavily in Repauno Phase 2 ($200M+) despite negative net income, prioritizing long-term infrastructure value over short-term profitability [1]. The willingness to sustain operating losses while building multi-decade assets shows some courage, though this could also reflect necessity rather than choice. Score reflects some courageous decisions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Infrastructure is a high-risk, high-reward infrastructure platform with exceptional revenue momentum — $503M in 2025 revenue (up 78% YoY) and record adjusted EBITDA of $361M (up 183% YoY) [1]. The company's assets are uniquely positioned: Jefferson Terminal benefits from growing Gulf Coast crude imports, Repauno Phase 2 adds ammonia/LNG capacity in Q1 2027, and Long Ridge monetization provides a potential catalyst in 2026 [1]. Analysts project 60%+ revenue growth in 2026, and the infrastructure assets have 20-30 year useful lives generating long-duration cash flows. At $5.30/share with a $626M market cap, the stock trades at a significant discount to the replacement value of its physical assets.</w:t>
      </w:r>
    </w:p>
    <w:p>
      <w:pPr>
        <w:spacing w:after="120"/>
      </w:pPr>
      <w:r>
        <w:rPr>
          <w:rFonts w:ascii="Calibri" w:hAnsi="Calibri"/>
          <w:b w:val="0"/>
          <w:color w:val="3A4A28"/>
          <w:sz w:val="20"/>
        </w:rPr>
        <w:t>The bear case is straightforward: FIP carries $3.85B in debt against $626M market cap (408% D/E), operates at a -41% profit margin, and has negative free cash flow of $343M [3]. The company must successfully monetize Long Ridge and complete Repauno Phase 2 to reach profitability — any delay or cost overrun could force dilutive equity raises or debt restructuring. The $0.03/quarter dividend ($0.12/year) is token and could be suspended. The stock is thinly traded (1M avg volume at $5.30) and highly volatile (52-week range $3.90-$7.94). Energy transition headwinds could reduce demand for crude import infrastructure, and interest rate increases would pressure the heavily leveraged balance sheet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Repauno Port &amp; Rail Terminal Phase 2 mechanical completion targeted fall 2026, with commissioning and revenue generation beginning Q1 2027 [1]</w:t>
      </w:r>
    </w:p>
    <w:p>
      <w:pPr>
        <w:spacing w:before="40" w:after="40"/>
        <w:ind w:left="283"/>
      </w:pPr>
      <w:r>
        <w:rPr>
          <w:rFonts w:ascii="Calibri" w:hAnsi="Calibri"/>
          <w:b/>
          <w:color w:val="4A6B25"/>
          <w:sz w:val="20"/>
        </w:rPr>
        <w:t xml:space="preserve">2. </w:t>
      </w:r>
      <w:r>
        <w:rPr>
          <w:rFonts w:ascii="Calibri" w:hAnsi="Calibri"/>
          <w:b w:val="0"/>
          <w:color w:val="3A4A28"/>
          <w:sz w:val="20"/>
        </w:rPr>
        <w:t>Long Ridge Energy Terminal monetization expected in 2026, potentially unlocking significant asset value through sale or partnership [1]</w:t>
      </w:r>
    </w:p>
    <w:p>
      <w:pPr>
        <w:spacing w:before="40" w:after="40"/>
        <w:ind w:left="283"/>
      </w:pPr>
      <w:r>
        <w:rPr>
          <w:rFonts w:ascii="Calibri" w:hAnsi="Calibri"/>
          <w:b/>
          <w:color w:val="4A6B25"/>
          <w:sz w:val="20"/>
        </w:rPr>
        <w:t xml:space="preserve">3. </w:t>
      </w:r>
      <w:r>
        <w:rPr>
          <w:rFonts w:ascii="Calibri" w:hAnsi="Calibri"/>
          <w:b w:val="0"/>
          <w:color w:val="3A4A28"/>
          <w:sz w:val="20"/>
        </w:rPr>
        <w:t>New ammonia contracts at Jefferson Terminal increasing throughput revenue as energy transition demand 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408% D/E with $3.85B debt on a $626M market cap — any refinancing difficulty or rate increase could trigger liquidity crisis [3]</w:t>
      </w:r>
    </w:p>
    <w:p>
      <w:pPr>
        <w:spacing w:before="40" w:after="40"/>
        <w:ind w:left="283"/>
      </w:pPr>
      <w:r>
        <w:rPr>
          <w:rFonts w:ascii="Calibri" w:hAnsi="Calibri"/>
          <w:b/>
          <w:color w:val="4A6B25"/>
          <w:sz w:val="20"/>
        </w:rPr>
        <w:t xml:space="preserve">2. </w:t>
      </w:r>
      <w:r>
        <w:rPr>
          <w:rFonts w:ascii="Calibri" w:hAnsi="Calibri"/>
          <w:b w:val="0"/>
          <w:color w:val="3A4A28"/>
          <w:sz w:val="20"/>
        </w:rPr>
        <w:t>Continued negative profitability (-41% margin) requires successful execution on multiple capital projects simultaneously to reach breakeven [3]</w:t>
      </w:r>
    </w:p>
    <w:p>
      <w:pPr>
        <w:spacing w:before="40" w:after="40"/>
        <w:ind w:left="283"/>
      </w:pPr>
      <w:r>
        <w:rPr>
          <w:rFonts w:ascii="Calibri" w:hAnsi="Calibri"/>
          <w:b/>
          <w:color w:val="4A6B25"/>
          <w:sz w:val="20"/>
        </w:rPr>
        <w:t xml:space="preserve">3. </w:t>
      </w:r>
      <w:r>
        <w:rPr>
          <w:rFonts w:ascii="Calibri" w:hAnsi="Calibri"/>
          <w:b w:val="0"/>
          <w:color w:val="3A4A28"/>
          <w:sz w:val="20"/>
        </w:rPr>
        <w:t>Repauno Phase 2 construction delays or cost overruns could force dilutive capital raises, with only $57M cash on hand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FTAI Infrastructure operates physical-world assets — ports, terminals, railroads, and power generation — that AI structurally cannot displace [1]. Crude oil import/export terminals, ammonia logistics, and short-line railroads require physical infrastructure that benefits from increased energy demand driven by AI data center buildout. The Long Ridge Energy Terminal specifically serves power needs that AI compute expansion intensifies [2]. AI Opportunity (0/1): No AI-related revenue streams; the company is a beneficiary of AI-driven energy demand rather than an AI product/service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Infrastructure Q4 2025 Earnings and Investor Presentation — record $361.2M full-year adjusted EBITDA, $502.5M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FTAI Infrastructure Inc. corporate website (fipinc.com) — About Us, leadership, and segment descriptions,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FIP (FTAI Infrastructure),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