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FISV</w:t>
      </w:r>
      <w:r>
        <w:rPr>
          <w:rFonts w:ascii="Calibri" w:hAnsi="Calibri"/>
          <w:b/>
          <w:color w:val="1A2010"/>
          <w:sz w:val="40"/>
        </w:rPr>
        <w:t xml:space="preserve">  Fiserv, Inc.</w:t>
      </w:r>
    </w:p>
    <w:p>
      <w:pPr>
        <w:spacing w:after="120"/>
      </w:pPr>
      <w:r>
        <w:rPr>
          <w:rFonts w:ascii="Calibri" w:hAnsi="Calibri"/>
          <w:b/>
          <w:color w:val="6E8450"/>
          <w:sz w:val="18"/>
        </w:rPr>
        <w:t>GROWTH SLEEVE · 2026-03-27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Financial Technology · NASDAQ · United States</w:t>
      </w:r>
    </w:p>
    <w:p>
      <w:pPr>
        <w:spacing w:after="80"/>
      </w:pPr>
      <w:r>
        <w:rPr>
          <w:rFonts w:ascii="Calibri" w:hAnsi="Calibri"/>
          <w:b w:val="0"/>
          <w:color w:val="3A4A28"/>
          <w:sz w:val="20"/>
        </w:rPr>
        <w:t>Fiserv is the world's largest financial technology provider, offering payment processing, merchant acquiring (Clover), digital banking, and financial institution technology solutions through its Merchant Solutions and Financial Solutions segments serving clients globally.</w:t>
      </w:r>
    </w:p>
    <w:p>
      <w:r>
        <w:rPr>
          <w:rFonts w:ascii="Calibri" w:hAnsi="Calibri"/>
          <w:b/>
          <w:color w:val="6E8450"/>
          <w:sz w:val="18"/>
        </w:rPr>
        <w:t>https://www.fiserv.com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Fiserv was named the #1 global fintech provider on the IDC FinTech Top 100 Rankings for the third consecutive year in 2025 [1]. The Clover commerce platform continues to expand vertically and horizontally, and new initiatives including Experience Digital, Cash Flow Central, stablecoin integration, and embedded finance are fully funded. However, CEO Mike Lyons acknowledged that 'current performance is not where we want it to be,' with Q4 GAAP revenue growing only 1% and Financial Solutions declining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'One Fiserv' action plan launched by CEO Lyons signals organizational renewal with a focus on execution and innovation [1]. The appointment of Co-Presidents Takis Georgakopoulos and Dhivya Suryadevara and new CFO Paul Todd represents a significant leadership refresh. However, the implicit admission of underperformance and the cautious 2026 guidance of 1-3% organic revenue growth suggest the company is in transition rather than inspiring confidence.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Fiserv's financial data from yfinance is limited (many fields null), but the available metrics are compelling: forward P/E of 6.1x and trailing P/E of 8.8x suggest deep value for the world's largest fintech [1]. Full-year 2025 GAAP revenue was $21.19B (up 4%), and Q4 adjusted EPS of $1.99 beat estimates by 4.7%. The 2026 EPS guidance of $8.00-$8.30 represents a reset year, but even at the low end the valuation appears exceptionally cheap. The company's scale and incumbent position provide structural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Fiserv's position as the world's largest fintech with deep banking infrastructure relationships provides inherent long-term staying power. The leadership refresh and 'One Fiserv' strategy suggest awareness of the need for renewal, though the cautious 2026 outlook reflects near-term uncertainty.</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Fiserv's role in powering financial infrastructure for thousands of banks and millions of merchants represents essential economic infrastructure [1]. The Clover platform's expansion into underserved merchant segments and Experience Digital's financial inclusion features serve genuine societal needs, though the company's massive scale means these are incremental rather than transformational.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appointment of Co-Presidents and a new CFO within months creates significant organizational change that can either energize or destabilize teams [1]. CEO Lyons' 'One Fiserv' action plan implies past silos and coordination failures, suggesting trust-building is a work in progress across the organization's large workforce.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Fiserv competes with FIS, Jack Henry, Block/Square, and Stripe. The company's continued #1 IDC FinTech ranking shows competitive positioning, and the Clover platform's vertical expansion demonstrates competitive learning from Square and Toast [1]. The 'One Fiserv' initiative implicitly acknowledges that competitors with more integrated platforms have gained ground.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First Data acquisition (2019) was a transformative strategic move that created the world's largest fintech [1]. New initiatives in stablecoins, embedded finance, and Cash Flow Central show continued strategic evolution. However, the 1-3% organic revenue growth guidance suggests the company is managing a mature business rather than driving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leadership overhaul (Co-Presidents, new CFO) and public acknowledgment that performance is below expectations show self-awareness and willingness to act [1]. The fully-funded technology initiatives in stablecoin and embedded finance represent forward-looking investment during a reset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Fiserv at 6.1x forward earnings is the world's largest fintech trading at deep value during a strategic reset year [1]. Q4 2025 adjusted EPS of $1.99 beat estimates by 4.7%, and the Merchant Solutions segment (Clover) grew 5% in FY2025. The leadership refresh with Co-Presidents and new CFO positions the company for accelerated execution, while fully-funded initiatives in stablecoin, embedded finance, and Experience Digital provide growth optionality. The 3-year consecutive #1 IDC FinTech ranking and incumbent banking infrastructure position provide structural competitive advantages that are difficult to displace.</w:t>
      </w:r>
    </w:p>
    <w:p>
      <w:pPr>
        <w:spacing w:after="120"/>
      </w:pPr>
      <w:r>
        <w:rPr>
          <w:rFonts w:ascii="Calibri" w:hAnsi="Calibri"/>
          <w:b w:val="0"/>
          <w:color w:val="3A4A28"/>
          <w:sz w:val="20"/>
        </w:rPr>
        <w:t>The bear case centers on growth deceleration and competitive pressure. The 2026 EPS guidance of $8.00-$8.30 implies potential decline from the 2025 adjusted EPS trajectory, and 1-3% organic revenue growth for the world's largest fintech suggests market share stagnation [1]. Financial Solutions revenue declined 2% in Q4, and CEO Lyons' admission that 'current performance is not where we want it to be' raises questions about execution capability. The leadership overhaul creates integration risk among Co-Presidents. Limited yfinance data (null for many key metrics) makes thorough financial analysis challenging. Block/Square, Stripe, and neobanks continue to target Fiserv's merchant and banking technology markets with more modern, API-first architectures.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One Fiserv action plan execution under new Co-Presidents could accelerate organic revenue growth from 1-3% toward the 5%+ range by 2027, triggering multiple expansion from 6.1x [1]</w:t>
      </w:r>
    </w:p>
    <w:p>
      <w:pPr>
        <w:spacing w:before="40" w:after="40"/>
        <w:ind w:left="283"/>
      </w:pPr>
      <w:r>
        <w:rPr>
          <w:rFonts w:ascii="Calibri" w:hAnsi="Calibri"/>
          <w:b/>
          <w:color w:val="4A6B25"/>
          <w:sz w:val="20"/>
        </w:rPr>
        <w:t xml:space="preserve">2. </w:t>
      </w:r>
      <w:r>
        <w:rPr>
          <w:rFonts w:ascii="Calibri" w:hAnsi="Calibri"/>
          <w:b w:val="0"/>
          <w:color w:val="3A4A28"/>
          <w:sz w:val="20"/>
        </w:rPr>
        <w:t>Clover's vertical expansion and embedded finance initiatives could recapture growth momentum in the Merchant Solutions segment [1]</w:t>
      </w:r>
    </w:p>
    <w:p>
      <w:pPr>
        <w:spacing w:before="40" w:after="40"/>
        <w:ind w:left="283"/>
      </w:pPr>
      <w:r>
        <w:rPr>
          <w:rFonts w:ascii="Calibri" w:hAnsi="Calibri"/>
          <w:b/>
          <w:color w:val="4A6B25"/>
          <w:sz w:val="20"/>
        </w:rPr>
        <w:t xml:space="preserve">3. </w:t>
      </w:r>
      <w:r>
        <w:rPr>
          <w:rFonts w:ascii="Calibri" w:hAnsi="Calibri"/>
          <w:b w:val="0"/>
          <w:color w:val="3A4A28"/>
          <w:sz w:val="20"/>
        </w:rPr>
        <w:t>Stablecoin integration and Cash Flow Central launch could position Fiserv at the intersection of traditional finance and digital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1-3% organic revenue growth for the world's largest fintech suggests potential structural growth ceiling as smaller, nimbler competitors capture incremental market share [1]</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risk with Co-Presidents and new CFO — dual-headed leadership structures have a mixed track record in technology companies</w:t>
      </w:r>
    </w:p>
    <w:p>
      <w:pPr>
        <w:spacing w:before="40" w:after="40"/>
        <w:ind w:left="283"/>
      </w:pPr>
      <w:r>
        <w:rPr>
          <w:rFonts w:ascii="Calibri" w:hAnsi="Calibri"/>
          <w:b/>
          <w:color w:val="4A6B25"/>
          <w:sz w:val="20"/>
        </w:rPr>
        <w:t xml:space="preserve">3. </w:t>
      </w:r>
      <w:r>
        <w:rPr>
          <w:rFonts w:ascii="Calibri" w:hAnsi="Calibri"/>
          <w:b w:val="0"/>
          <w:color w:val="3A4A28"/>
          <w:sz w:val="20"/>
        </w:rPr>
        <w:t>Financial Solutions segment declining 2% in Q4 could signal that core banking infrastructure business is losing share to cloud-native alternatives like Thought Machine and Temenos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Fiserv's embedded position in financial institution infrastructure makes it difficult to displace, as banks are reluctant to replace core processing systems [1]. AI enhances Fiserv's capabilities through fraud detection, personalized banking experiences, and automated compliance monitoring. The Clover platform's AI-powered merchant analytics could differentiate against Square and Toast. The primary risk is that AI-native fintech startups could erode Fiserv's merchant acquiring business at the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Fiserv Q4/FY2025 Earnings Release and 2026 Outlook, February 10, 2026</w:t>
      </w:r>
    </w:p>
    <w:p>
      <w:pPr>
        <w:spacing w:before="20" w:after="20"/>
        <w:ind w:left="170"/>
      </w:pPr>
      <w:r>
        <w:rPr>
          <w:rFonts w:ascii="Calibri" w:hAnsi="Calibri"/>
          <w:b/>
          <w:color w:val="4A6B25"/>
          <w:sz w:val="15"/>
        </w:rPr>
        <w:t xml:space="preserve">2. </w:t>
      </w:r>
      <w:r>
        <w:rPr>
          <w:rFonts w:ascii="Calibri" w:hAnsi="Calibri"/>
          <w:b w:val="0"/>
          <w:color w:val="3A4A28"/>
          <w:sz w:val="17"/>
        </w:rPr>
        <w:t>IDC FinTech Top 100 Rankings and One Fiserv Strategy — Fiserv Investor Relations,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FISV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