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w:t>
      </w:r>
      <w:r>
        <w:rPr>
          <w:rFonts w:ascii="Calibri" w:hAnsi="Calibri"/>
          <w:b/>
          <w:color w:val="1A2010"/>
          <w:sz w:val="40"/>
        </w:rPr>
        <w:t xml:space="preserve">  Fidelity National Information Services,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FIS is the world's largest global provider of banking and payments technology, serving more than 14,000 financial institutions across 100+ countries. The company provides core banking processing, digital banking, fraud and risk management, card and retail payments, capital markets solutions, and wealth and retirement services. In January 2026, FIS closed the acquisition of Total Issuing Solutions and simultaneously divested its Worldpay stake.</w:t>
      </w:r>
    </w:p>
    <w:p>
      <w:r>
        <w:rPr>
          <w:rFonts w:ascii="Calibri" w:hAnsi="Calibri"/>
          <w:b/>
          <w:color w:val="6E8450"/>
          <w:sz w:val="18"/>
        </w:rPr>
        <w:t>44,000 Employees · https://www.fisglobal.com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grew 8% to $2.75B with adjusted EPS of $1.68 vs $1.40 prior year; Banking Solutions revenue grew 8.3% with recurring revenue up 8.8%, demonstrating strong organic momentum [1]. AI Deployment (2/2): FIS launched Neural Treasury (industry-first financial LLM), Treasury GPT (with Microsoft Azure), and the Insurance Risk Suite AI Assistant — a 24/7 generative AI tool for actuarial risk modeling; these represent genuine AI product innovation, not vaporware [2]. Market Share (2/2): FIS is the dominant banking technology provider globally, and the Total Issuing Solutions acquisition positions it as the leading end-to-end issuer processor; CEO Ferris's strategy focuses on banks growing faster organically and through consolidation [1][2]. Pipeline (1/2): Revenue Insight product, #InnovateIN48 developer competition (2,000 developers, 438 teams, 15 countries), and planned rollout of AI-powered products across banking, treasury, and insurance verticals [2]. R&amp;D Intensity (0/1): GitHub Copilot deployment drove a 7,000-person headcount reduction, suggesting R&amp;D efficiency gains but raising questions about raw investment levels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FIS's purpose of 'helping businesses and communities thrive by advancing commerce and the financial world' is functional but lacks the emotional resonance of top-tier mission statements [2]. Named one of Newsweek's Most Trustworthy Companies 2025 and TIME's World's Best Companies 2024, suggesting external validation. Community Impact (1/2): FIS serves critical financial infrastructure for 14,000+ institutions globally, enabling commerce and financial inclusion; however, the 7,000-person (12%) headcount reduction in 2025 via AI automation represents significant workforce disruption [3]. Employee Retention (1/2): Glassdoor rating of 3.5/5 with 62% recommendation rate is average for a large tech company; reviews cite good benefits but lack of executive transparency [2]. Insider Buying (1/2): Board approved 10% dividend increase to $0.44/quarter in January 2026, signaling management confidence in the post-restructuring trajectory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FIS's financials are in transition following the Worldpay divestiture and Total Issuing acquisition. Profit margin of 3.6% and ROE of 2.6% are depressed by restructuring and integration costs, though adjusted metrics are significantly better [4]. Forward P/E of 6.8x on adjusted EPS guidance of $6.22–$6.32 is extremely cheap, reflecting market skepticism about the transformation [1]. D/E of 95.9% is elevated, with the company pausing buybacks and M&amp;A to delever to 2.8x gross leverage target [1]. Revenue guidance of $13.77–$13.85B for FY2026 implies 30–31% reported growth (including Total Issuing) or 5.1–5.7% pro forma organic growth [1]. Dividend yield of 3.46% with a 10% increase shows income commitment. Liquidity floor easily cleared: 5.3M avg volume × $46.91 = $249.3M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FIS under CEO Ferris shows improving infinite game characteristics through its strategic transformation — divesting Worldpay to focus on core banking technology, acquiring Total Issuing, and investing in AI-powered products. However, the aggressive headcount reduction, $210M class action settlement, and history of data breaches reveal a company still balancing short-term financial engineering with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FIS's cause of 'advancing commerce and the financial world' is operationally grounded — the company genuinely enables financial infrastructure for 14,000+ institutions across 100+ countries [2]. The pivot from Worldpay back to core banking technology shows strategic clarity about where FIS can make its deepest impact. However, the cause lacks the emotional depth and cultural resonance that would score higher; 'advancing commerce' is a description of the business, not a higher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3.5/5 with 62% recommendation rate is adequate but not exceptional for a Fortune 500 technology company [2]. The 7,000-person headcount reduction (12% of workforce) in 2025 via AI automation inevitably damaged trust, even if strategically justified [3]. Reviews cite lack of executive transparency. However, the #InnovateIN48 program with 2,000 developers across 15 countries shows investment in talent development and internal innovation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 competes against Jack Henry, Temenos, Finastra, and in-house bank technology teams, and CEO Ferris has clearly articulated a differentiated strategy: focusing on banks 'growing faster in the market, both organically and through consolidation' rather than serving the most banks [2]. The Total Issuing acquisition shows willingness to make bold competitive moves. Acknowledging fintech disruption risk while emphasizing proprietary data and regulatory moats demonstrates clear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FIS's dramatic restructuring — divesting its 55% Worldpay stake, acquiring Total Issuing Solutions, and pivoting to a pure banking/capital markets technology company — represents significant existential flexibility [1]. The company has reinvented its portfolio under activist investor pressure, showing ability to adapt when circumstances demand it. The AI product launches (Neural Treasury, Treasury GPT) demonstrate willingness to cannibalize existing revenue streams for next-generation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Ferris has shown courage in executing a painful transformation — divesting Worldpay at a significant loss from original purchase price, cutting 7,000 employees, and pausing buybacks to deleverage [1][3]. The 10% dividend increase during a restructuring signals confidence. However, the $210M class action settlement and history of data breaches (8.5M records in 2007, $13M ATM hack in 2011, 2025 power outage affecting major banks) reveal persistent operational governance weaknesses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 is a deep value opportunity in fintech at 6.8x forward earnings, trading at a steep discount to its intrinsic value as the world's largest banking technology provider serving 14,000+ institutions globally [1][4]. The post-restructuring FIS is a focused banking and capital markets software company with Q4 2025 revenue growth of 8%, recurring revenue growth of 8.8%, and adjusted EPS of $1.68 (up 20% YoY) [1]. FY2026 guidance of $6.22–$6.32 adjusted EPS on $13.77–$13.85B revenue implies 5–6% pro forma organic growth, supported by the Total Issuing acquisition and AI product launches including Neural Treasury (industry-first financial LLM) and Treasury GPT [1][2]. The 10% dividend increase to $0.44/quarter, 3.46% yield, and planned deleveraging to 2.8x create an attractive total return profile. CEO Ferris's AI strategy — leveraging proprietary data across 14,000 institutions and regulated processes — positions FIS as an AI beneficiary with high switching-cost moats.</w:t>
      </w:r>
    </w:p>
    <w:p>
      <w:pPr>
        <w:spacing w:after="120"/>
      </w:pPr>
      <w:r>
        <w:rPr>
          <w:rFonts w:ascii="Calibri" w:hAnsi="Calibri"/>
          <w:b w:val="0"/>
          <w:color w:val="3A4A28"/>
          <w:sz w:val="20"/>
        </w:rPr>
        <w:t>The bear case focuses on execution risk, leverage, and competition. The Total Issuing integration must deliver while FIS simultaneously digests the Worldpay divestiture — management complexity is elevated [1]. D/E of 95.9% with paused buybacks and M&amp;A signal a balance sheet under stress, and the GAAP P/E of 64x (vs 6.8x adjusted) reveals significant add-backs that may overstate earnings quality [4]. The 7,000-person headcount reduction via GitHub Copilot, while margin-accretive, may have damaged institutional knowledge and client relationships [3]. A $210M class action settlement and history of data breaches (8.5M records stolen in 2007) create governance concerns [3]. Large banks may increasingly build technology in-house or adopt alternative AI platforms, threatening FIS's core franchise. The stock has fallen ~25% YTD, and further integration missteps or margin compression could push shares lower before the restructuring delivers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Issuing Solutions integration delivering 30–31% reported revenue growth and positioning FIS as the leading end-to-end issuer processor, with pro forma organic growth of 5–6% validating the strategic pivot [1]</w:t>
      </w:r>
    </w:p>
    <w:p>
      <w:pPr>
        <w:spacing w:before="40" w:after="40"/>
        <w:ind w:left="283"/>
      </w:pPr>
      <w:r>
        <w:rPr>
          <w:rFonts w:ascii="Calibri" w:hAnsi="Calibri"/>
          <w:b/>
          <w:color w:val="4A6B25"/>
          <w:sz w:val="20"/>
        </w:rPr>
        <w:t xml:space="preserve">2. </w:t>
      </w:r>
      <w:r>
        <w:rPr>
          <w:rFonts w:ascii="Calibri" w:hAnsi="Calibri"/>
          <w:b w:val="0"/>
          <w:color w:val="3A4A28"/>
          <w:sz w:val="20"/>
        </w:rPr>
        <w:t>AI product monetization — Neural Treasury, Treasury GPT, and Insurance Risk Suite AI Assistant represent new revenue streams as 14,000+ financial institutions modernize their technology stacks [2]</w:t>
      </w:r>
    </w:p>
    <w:p>
      <w:pPr>
        <w:spacing w:before="40" w:after="40"/>
        <w:ind w:left="283"/>
      </w:pPr>
      <w:r>
        <w:rPr>
          <w:rFonts w:ascii="Calibri" w:hAnsi="Calibri"/>
          <w:b/>
          <w:color w:val="4A6B25"/>
          <w:sz w:val="20"/>
        </w:rPr>
        <w:t xml:space="preserve">3. </w:t>
      </w:r>
      <w:r>
        <w:rPr>
          <w:rFonts w:ascii="Calibri" w:hAnsi="Calibri"/>
          <w:b w:val="0"/>
          <w:color w:val="3A4A28"/>
          <w:sz w:val="20"/>
        </w:rPr>
        <w:t>Deleveraging to 2.8x gross leverage target followed by resumption of share repurchases could unlock significant shareholder value from the current 6.8x forward P/E trough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Total Issuing acquisition and Worldpay divestiture create simultaneous complexity that could distract management and compress margins during a critical transformation period [1]</w:t>
      </w:r>
    </w:p>
    <w:p>
      <w:pPr>
        <w:spacing w:before="40" w:after="40"/>
        <w:ind w:left="283"/>
      </w:pPr>
      <w:r>
        <w:rPr>
          <w:rFonts w:ascii="Calibri" w:hAnsi="Calibri"/>
          <w:b/>
          <w:color w:val="4A6B25"/>
          <w:sz w:val="20"/>
        </w:rPr>
        <w:t xml:space="preserve">2. </w:t>
      </w:r>
      <w:r>
        <w:rPr>
          <w:rFonts w:ascii="Calibri" w:hAnsi="Calibri"/>
          <w:b w:val="0"/>
          <w:color w:val="3A4A28"/>
          <w:sz w:val="20"/>
        </w:rPr>
        <w:t>Large bank self-sourcing — financial institutions building technology in-house or adopting alternative AI platforms could erode FIS's core banking franchise and recurring revenue base [2]</w:t>
      </w:r>
    </w:p>
    <w:p>
      <w:pPr>
        <w:spacing w:before="40" w:after="40"/>
        <w:ind w:left="283"/>
      </w:pPr>
      <w:r>
        <w:rPr>
          <w:rFonts w:ascii="Calibri" w:hAnsi="Calibri"/>
          <w:b/>
          <w:color w:val="4A6B25"/>
          <w:sz w:val="20"/>
        </w:rPr>
        <w:t xml:space="preserve">3. </w:t>
      </w:r>
      <w:r>
        <w:rPr>
          <w:rFonts w:ascii="Calibri" w:hAnsi="Calibri"/>
          <w:b w:val="0"/>
          <w:color w:val="3A4A28"/>
          <w:sz w:val="20"/>
        </w:rPr>
        <w:t>Balance sheet stress (D/E 95.9%) with paused buybacks, $210M class action settlement, and history of operational failures (data breaches, power outages) create governance and financial overhang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FIS is a clear AI beneficiary rather than a victim. CEO Ferris called AI a 'strategic accelerant,' citing FIS's proprietary data set across 14,000+ financial institutions and its audited, regulated processes as difficult-to-replicate advantages [2]. The company's embedded position in core banking infrastructure creates high switching costs that protect against AI-enabled competitors. Neural Treasury (industry-first financial LLM), Treasury GPT, and Insurance Risk Suite AI Assistant demonstrate FIS is actively productizing AI rather than being disrupted by it [2]. The GitHub Copilot deployment that drove 7,000-person headcount reduction shows internal AI adoption driving margin expansion [3]. AI Opportunity (1/1): AI-powered products across treasury, insurance risk, and banking represent meaningful revenue expansion opportunities as financial institutions modernize their technology stacks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FIS FY2025 Results and FY2026 Outlook — Q4 revenue $2.75B (+8%), adjusted EPS $1.68, FY2026 guidance $6.22-$6.32 EPS on $13.77-$13.85B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FIS AI Innovation — Neural Treasury, Treasury GPT, Insurance Risk Suite AI Assistant, CEO Ferris AI strategy, Glassdoor 3.5/5,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FIS ESG Controversies — $210M class action settlement, 7,000 headcount reduction via AI, data breach history, Sustainalytics Strong management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FIS (Fidelity National Information Services),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