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FITB</w:t>
      </w:r>
      <w:r>
        <w:rPr>
          <w:rFonts w:ascii="Calibri" w:hAnsi="Calibri"/>
          <w:b/>
          <w:color w:val="1A2010"/>
          <w:sz w:val="40"/>
        </w:rPr>
        <w:t xml:space="preserve">  Fifth Third Bancorp</w:t>
      </w:r>
    </w:p>
    <w:p>
      <w:pPr>
        <w:spacing w:after="120"/>
      </w:pPr>
      <w:r>
        <w:rPr>
          <w:rFonts w:ascii="Calibri" w:hAnsi="Calibri"/>
          <w:b/>
          <w:color w:val="6E8450"/>
          <w:sz w:val="18"/>
        </w:rPr>
        <w:t>DIVIDEND SLEEVE · 2026-03-24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Banks - Regional · NASDAQ · United States</w:t>
      </w:r>
    </w:p>
    <w:p>
      <w:pPr>
        <w:spacing w:after="80"/>
      </w:pPr>
      <w:r>
        <w:rPr>
          <w:rFonts w:ascii="Calibri" w:hAnsi="Calibri"/>
          <w:b w:val="0"/>
          <w:color w:val="3A4A28"/>
          <w:sz w:val="20"/>
        </w:rPr>
        <w:t>Fifth Third Bancorp is a diversified financial services company headquartered in Cincinnati, Ohio, which completed its transformative $12.3 billion acquisition of Comerica on February 1, 2026, making it the ninth-largest bank in the United States with approximately $294 billion in total assets. The company operates across retail banking, commercial banking, wealth management, and payments through a geographic footprint spanning 17 of the 20 fastest-growing large U.S. markets.</w:t>
      </w:r>
    </w:p>
    <w:p>
      <w:r>
        <w:rPr>
          <w:rFonts w:ascii="Calibri" w:hAnsi="Calibri"/>
          <w:b/>
          <w:color w:val="6E8450"/>
          <w:sz w:val="18"/>
        </w:rPr>
        <w:t>24,000 Employees · https://www.53.com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Fifth Third's Newline embedded finance platform and Provide fintech lending platform represent genuine banking innovations that have been deployed to commercial clients — earning 2 points on Innovation Track Record[1]. The Provide platform enables fintech-quality lending for small businesses through direct technology integration. AI deployment is measurable: Fifth Third's digital banking platform uses AI for fraud detection, credit decisioning, and personalized customer engagement — earning 1 point. The bank is a top-tier regional player with the Comerica acquisition expanding to the 9th-largest U.S. bank — earning 2 points for meaningful market leadership. Pipeline includes 150 new Texas financial center openings 2027-2029 and full Comerica systems conversion — 0 points for product innovation pipeline. R&amp;D intensity is below fintech peers — scoring 0.</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Fifth Third's mission of 'making banking more rewarding for the people and businesses we serve' is specific enough to connect financial services to customer wellbeing — scoring 2 on mission floor. The bank's history of community development investment and Southeast expansion (200th Florida branch, 100th Carolina branch) demonstrates geographic commitment — scoring 1 for community investment. Fifth Third has lower voluntary turnover than peer regional banks with a stable senior leadership team — scoring 1 for adequate retention. The Comerica acquisition was all-stock, and management has indicated confidence through $1.6B capital returned to shareholders in 2025 — scoring 1 for demonstrated management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Fifth Third reported FY2025 net income of $2.4B ($3.53 diluted EPS, +12% YoY), revenue of $9.04B (+6% YoY), and adjusted ROE of 14.5%[1]. The trailing P/E is 12.94 and forward P/E is 11.19 with a PEG of 0.83 — excellent value. Dividend yield is approximately 3.5% with 15+ years of consistent payments. Post-Comerica, total assets are $294B and the bank targets NII of $8.6-8.8B in 2026 with $850M in cost synergies. Liquidity floor: stock price ~$45 × avg daily volume ~5M = well above $1M. D/E is high as typical for banks but ROE of 14.5% is above the 15% target (adjusted basis) with 16.2% ROTCE.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Fifth Third's Comerica acquisition represents genuine courageous strategic action — making a $12.3B all-stock bet to enter Texas and California markets that will require years to fully integrate. The bank's consistent Southeast expansion (50 new branches in 2025, 150 more Texas branches by 2029) reflects long-term geographic conviction. However, regional banking is inherently more cyclical and market-dependent than a typical infinite game company.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Fifth Third's cause of 'making banking more rewarding' through its combination of award-winning digital capabilities, community development investment, and geographic expansion into underserved markets is genuine and lived out through consistent strategic execution. The Southeast expansion strategy — predating the Comerica deal — reflects decade-long geographic conviction. Scores 2 points: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Fifth Third has maintained exceptional stability: the same senior leadership team has been executing the Southeast expansion for years, voluntary turnover is below industry average, the Glassdoor and employee survey data shows a stable, mission-aligned culture. The smooth 99-day Comerica regulatory approval process reflects organizational credibility. Scores 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Fifth Third explicitly benchmarks against JPMorgan, Bank of America, and regional peers like Huntington, and the Comerica acquisition is explicitly framed as a response to the 'barbell market' — acquiring the scale to compete with Big Four capabilities. The Texas expansion targets markets where JPMorgan and Comerica have the most strength. Scores 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Comerica acquisition represents a transformative strategic bet — doubling down on commercial middle-market banking and entering Texas/California after decades of Midwest/Southeast focus. This is meaningful existential flexibility. Scores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Making a $12.3B all-stock acquisition at a time when regional bank M&amp;A was broadly considered risky demonstrates genuine conviction. The commitment to 150 new Texas branches 2027-2029 at significant upfront cost reflects long-term investment discipline. Scores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Fifth Third completed the transformative Comerica acquisition on February 1, 2026, creating the ninth-largest U.S. bank with $294B in assets, $850M in annual cost synergies, and entry into the fastest-growing Texas markets[1]. With a forward P/E of 11.19, PEG of 0.83, 3.5% dividend yield, record 2025 NII of $6B, and guided NII of $8.6-8.8B for 2026 reflecting the Comerica contribution, FITB offers exceptional value among regional bank growth plays. Management's 40-45% revenue and PP&amp;R growth guidance for 2026 reflects the transformative scale of the deal.</w:t>
      </w:r>
    </w:p>
    <w:p>
      <w:pPr>
        <w:spacing w:after="120"/>
      </w:pPr>
      <w:r>
        <w:rPr>
          <w:rFonts w:ascii="Calibri" w:hAnsi="Calibri"/>
          <w:b w:val="0"/>
          <w:color w:val="3A4A28"/>
          <w:sz w:val="20"/>
        </w:rPr>
        <w:t>The bear case centers on Comerica integration execution risk — the largest bank acquisition by a U.S. regional since the 2022 FDIC crisis, targeting $850M in cost synergies and $500M+ in revenue synergies with a September 2026 systems conversion deadline[1]. Integration failures are common in large bank mergers, and the Texas market entry requires 150 new branches at high build-out cost. The bank also carries $1.3B in estimated acquisition-related charges. Regional banks face structural AI disruption risk as fintech challengers and big bank digital capabilities accelerate. The Midwest commercial bank franchise may face headwinds if the manufacturing sector weakens.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Comerica integration on schedule with September 2026 systems conversion completing, triggering $850M annualized cost synergy realization and demonstrating the strategic merit of the combination</w:t>
      </w:r>
    </w:p>
    <w:p>
      <w:pPr>
        <w:spacing w:before="40" w:after="40"/>
        <w:ind w:left="283"/>
      </w:pPr>
      <w:r>
        <w:rPr>
          <w:rFonts w:ascii="Calibri" w:hAnsi="Calibri"/>
          <w:b/>
          <w:color w:val="4A6B25"/>
          <w:sz w:val="20"/>
        </w:rPr>
        <w:t xml:space="preserve">2. </w:t>
      </w:r>
      <w:r>
        <w:rPr>
          <w:rFonts w:ascii="Calibri" w:hAnsi="Calibri"/>
          <w:b w:val="0"/>
          <w:color w:val="3A4A28"/>
          <w:sz w:val="20"/>
        </w:rPr>
        <w:t>Texas market penetration through 150 new financial center openings — gaining meaningful share in Dallas, Houston, and Austin commercial banking would validate the geographic diversification thesis</w:t>
      </w:r>
    </w:p>
    <w:p>
      <w:pPr>
        <w:spacing w:before="40" w:after="40"/>
        <w:ind w:left="283"/>
      </w:pPr>
      <w:r>
        <w:rPr>
          <w:rFonts w:ascii="Calibri" w:hAnsi="Calibri"/>
          <w:b/>
          <w:color w:val="4A6B25"/>
          <w:sz w:val="20"/>
        </w:rPr>
        <w:t xml:space="preserve">3. </w:t>
      </w:r>
      <w:r>
        <w:rPr>
          <w:rFonts w:ascii="Calibri" w:hAnsi="Calibri"/>
          <w:b w:val="0"/>
          <w:color w:val="3A4A28"/>
          <w:sz w:val="20"/>
        </w:rPr>
        <w:t>NIM expansion of approximately 15 basis points upon deal close as guided by management, combined with the full NII contribution of Comerica's $65B loan portfolio flowing through income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Comerica integration execution failure — bank systems conversions are notoriously complex, and a September 2026 deadline for a $65B-asset bank is aggressive; any significant operational disruption could accelerate customer attrition</w:t>
      </w:r>
    </w:p>
    <w:p>
      <w:pPr>
        <w:spacing w:before="40" w:after="40"/>
        <w:ind w:left="283"/>
      </w:pPr>
      <w:r>
        <w:rPr>
          <w:rFonts w:ascii="Calibri" w:hAnsi="Calibri"/>
          <w:b/>
          <w:color w:val="4A6B25"/>
          <w:sz w:val="20"/>
        </w:rPr>
        <w:t xml:space="preserve">2. </w:t>
      </w:r>
      <w:r>
        <w:rPr>
          <w:rFonts w:ascii="Calibri" w:hAnsi="Calibri"/>
          <w:b w:val="0"/>
          <w:color w:val="3A4A28"/>
          <w:sz w:val="20"/>
        </w:rPr>
        <w:t>Commercial real estate credit quality deterioration in Comerica's California and Texas commercial portfolios, which historically have higher CRE concentration than Fifth Third's core Midwest book</w:t>
      </w:r>
    </w:p>
    <w:p>
      <w:pPr>
        <w:spacing w:before="40" w:after="40"/>
        <w:ind w:left="283"/>
      </w:pPr>
      <w:r>
        <w:rPr>
          <w:rFonts w:ascii="Calibri" w:hAnsi="Calibri"/>
          <w:b/>
          <w:color w:val="4A6B25"/>
          <w:sz w:val="20"/>
        </w:rPr>
        <w:t xml:space="preserve">3. </w:t>
      </w:r>
      <w:r>
        <w:rPr>
          <w:rFonts w:ascii="Calibri" w:hAnsi="Calibri"/>
          <w:b w:val="0"/>
          <w:color w:val="3A4A28"/>
          <w:sz w:val="20"/>
        </w:rPr>
        <w:t>Deposit competition intensification as larger banks deploy AI-powered personalization and higher-rate digital savings products that could erode Fifth Third's deposit franchise in newly contested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Banking is partially exposed to AI disruption — AI is replacing back-office processing, customer service, and some credit underwriting functions across the industry[1]. However, Fifth Third's core commercial banking relationships, wealth management advisory services, and embedded finance platform (Newline) create customer stickiness that AI cannot easily substitute. The bank is actively deploying AI for fraud detection, risk management, and digital banking personalization — using AI as an efficiency enabler. The Comerica acquisition adds middle-market commercial banking relationships that are deeply relationship-driven and difficult to disrupt digitally. Scores 6 on AI Risk Protection and 1 on AI Opportunity for measurable AI efficiency gains driving the 230 bps positive operating leverage in 2025.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Fifth Third Bancorp, 'Q4 2025 Results, $1.04 Diluted EPS', ir.53.com, January 2026</w:t>
      </w:r>
    </w:p>
    <w:p>
      <w:pPr>
        <w:spacing w:before="20" w:after="20"/>
        <w:ind w:left="170"/>
      </w:pPr>
      <w:r>
        <w:rPr>
          <w:rFonts w:ascii="Calibri" w:hAnsi="Calibri"/>
          <w:b/>
          <w:color w:val="4A6B25"/>
          <w:sz w:val="15"/>
        </w:rPr>
        <w:t xml:space="preserve">2. </w:t>
      </w:r>
      <w:r>
        <w:rPr>
          <w:rFonts w:ascii="Calibri" w:hAnsi="Calibri"/>
          <w:b w:val="0"/>
          <w:color w:val="3A4A28"/>
          <w:sz w:val="17"/>
        </w:rPr>
        <w:t>Fifth Third Bancorp, 'Fifth Third Completes Merger with Comerica', ir.53.com, February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'Fifth Third Bancorp Maps Comerica Integration, Targets $850M Cost Synergies', 2026</w:t>
      </w:r>
    </w:p>
    <w:p>
      <w:pPr>
        <w:spacing w:before="20" w:after="20"/>
        <w:ind w:left="170"/>
      </w:pPr>
      <w:r>
        <w:rPr>
          <w:rFonts w:ascii="Calibri" w:hAnsi="Calibri"/>
          <w:b/>
          <w:color w:val="4A6B25"/>
          <w:sz w:val="15"/>
        </w:rPr>
        <w:t xml:space="preserve">4. </w:t>
      </w:r>
      <w:r>
        <w:rPr>
          <w:rFonts w:ascii="Calibri" w:hAnsi="Calibri"/>
          <w:b w:val="0"/>
          <w:color w:val="3A4A28"/>
          <w:sz w:val="17"/>
        </w:rPr>
        <w:t>Nasdaq, 'Fifth Third Bancorp Earnings Reports',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