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FLG</w:t>
      </w:r>
      <w:r>
        <w:rPr>
          <w:rFonts w:ascii="Calibri" w:hAnsi="Calibri"/>
          <w:b/>
          <w:color w:val="1A2010"/>
          <w:sz w:val="40"/>
        </w:rPr>
        <w:t xml:space="preserve">  Flagstar Bank, N.A.</w:t>
      </w:r>
    </w:p>
    <w:p>
      <w:pPr>
        <w:spacing w:after="120"/>
      </w:pPr>
      <w:r>
        <w:rPr>
          <w:rFonts w:ascii="Calibri" w:hAnsi="Calibri"/>
          <w:b/>
          <w:color w:val="6E8450"/>
          <w:sz w:val="18"/>
        </w:rPr>
        <w:t>GROWTH SLEEVE · 2026-03-31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Flagstar Bank, N.A. (formerly New York Community Bancorp/Flagstar Financial) is a regional bank headquartered in Hicksville, New York, offering commercial and consumer banking products including multifamily and CRE lending, C&amp;I loans, mortgage origination, and deposit services. The bank nearly collapsed in early 2024 due to CRE losses and received a $1.05B emergency equity infusion led by Steven Mnuchin's Liberty Strategic Capital.</w:t>
      </w:r>
    </w:p>
    <w:p>
      <w:r>
        <w:rPr>
          <w:rFonts w:ascii="Calibri" w:hAnsi="Calibri"/>
          <w:b/>
          <w:color w:val="6E8450"/>
          <w:sz w:val="18"/>
        </w:rPr>
        <w:t>5,631 Employees · https://www.flagstar.com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Flagstar's recent history is defined by crisis management rather than innovation — the 2024 near-collapse, $2.4B impairment charge, and $1.05B emergency equity injection dominated operations [3]. The turnaround under Otting has been competent, with Q4 2025 returning to profitability ($0.05 diluted EPS) and CRE exposure reduced from $50.6B to $38.3B [1]. But this is stabilization, not innovation. AI Deployment (1/2): Flagstar is leveraging AI for credit analysis and analytical work to support capital deployment, and the CTO is consolidating legacy technology infrastructure [2]. However, these are early-stage internal efficiency efforts, not customer-facing AI products or measurable AI-driven gains. Market Share (0/2): Flagstar is a restructuring regional bank with no category leadership or share gains — it is actively shrinking its balance sheet and CRE portfolio [3]. Pipeline (1/2): Flagstar plans to hire 100 commercial bankers and grow C&amp;I loans (up $448M or 3% QoQ with originations up 41%), representing a pipeline of organic growth from the restructured platform [1]. R&amp;D Intensity (1/1): Technology investment is a stated priority with new senior leaders appointed for technology innovation and risk oversight, and AI integration into credit analysis workflows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Flagstar does not articulate a distinctive Just Cause or mission beyond being a customer-centric regional bank. The company is focused on survival and turnaround rather than a purpose-driven vision of a better future [2]. Community Impact (1/2): As a community bank with branches across the Northeast, Flagstar serves local communities and small businesses. However, the OCC found discriminatory lending practices against Black homeowners, and the bank had exposure to NYC's 'Worst Landlord Watchlist' properties — undermining community impact credibility [3]. Employee Retention (0/2): Flagstar reduced headcount from approximately 10,000+ to 5,631 through restructuring. Multiple C-suite changes (two CFO changes in one year) and the turnaround environment suggest high instability [2]. Insider Buying (1/2): The March 2024 $1.05B equity injection by Mnuchin-led investors represents massive insider conviction at the entity level, though individual insider purchases are limited to stock award grants rather than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Flagstar's financial profile reflects a bank in turnaround — deeply discounted valuation but severely impaired fundamentals. Forward P/E of 8.0x is attractive if the earnings recovery materializes as analysts project ($1.64 forward EPS vs trailing loss of -$0.50) [5]. ROE of -2.2% reflects the trailing 12-month loss period; the bank only returned to profitability in Q4 2025 [1]. Profit margin of -9.4% is negative on a trailing basis. Revenue growth YoY of ~19% (from $1.58B to $1.88B) is strong but from a deeply depressed base after the crisis [1]. Trading at 0.72x book value ($13.17 vs $18.37 book) implies significant discount to tangible assets. Operating cash flow is negative at -$181M, and the dividend was slashed from $0.51/quarter to $0.01/quarter — a token dividend [4]. Non-performing loans continue growing even as the bank shrinks its CRE book [3]. Liquidity floor cleared: 5.5M avg volume × $13.17 = $72M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Flagstar under Otting is playing a survival game that is beginning to transition toward an infinite game. The $1.05B equity injection and systematic CRE de-risking show long-term thinking, but the institutional identity crisis (NYCB to Flagstar Financial to Flagstar Bank N.A.), governance scandals, and crisis-driven decision-making reflect finite game characteristics.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Flagstar lacks a compelling Just Cause beyond becoming 'a powerhouse, profitable regional bank' [2]. The company's identity has been in flux — NYCB to Flagstar Financial to Flagstar Bank N.A. in under two years. Otting's vision of being large enough to serve clients effectively while small enough for personalized service is practical but not inspiring. The bank's purpose is defined by what it's recovering from, not what it's building toward.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 trust environment following the near-collapse. Two CFO changes in one year, massive headcount reduction from 10,000+ to 5,631, and a whistleblower lawsuit alleging executive misconduct and retaliation paint a picture of organizational instability [3]. The whistleblower complaint describing a compliance executive terminated before concluding an investigation, and allegations of inappropriate executive behavior during a video meeting, indicate serious culture problems under prior leadership. Otting's new management team may be improving conditions, but trust takes years to rebuild.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Otting explicitly positions Flagstar as learning from larger banks' technology investments and plans to leverage turnkey AI solutions developed by bigger competitors rather than trying to out-innovate them [2]. Rich Raffetto's approach of building commercial banking capabilities by benchmarking against best-in-class regional banks shows competitive awareness oriented toward self-improvement.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Flagstar has undergone a forced but genuine reinvention — pivoting from a CRE-dominated lender to a diversified commercial bank, shedding $12.3B in CRE exposure in two years, and rebuilding around C&amp;I lending and commercial banking [1][3]. The rebranding, charter conversion to national bank, and complete management overhaul represent a fundamental business model transformation. However, this flexibility was driven by crisis necessity rather than proactive strategic vision.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Otting took on a deeply distressed institution and made difficult decisions — aggressive CRE portfolio reduction (cutting $12.3B in two years), headcount reductions, dividend slashing from $0.51 to $0.01, and investment-grade rating pursuit [1][3]. Mnuchin's group invested $1.05B at a point of maximum uncertainty, showing genuine risk-taking. However, many of these decisions were forced by regulatory and financial necessity rather than voluntary courage.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Flagstar Bank returned to profitability in Q4 2025 ($0.05 diluted EPS) after a tumultuous 2024 that saw a near-collapse, $2.4B impairment charge, and $1.05B emergency equity injection [1][3]. Trading at 0.72x book value ($13.17 vs $18.37 book) and 8.0x forward earnings, FLG offers deep value if the Otting-led turnaround executes — C&amp;I loan originations surged 41% QoQ, net interest margin improved for three consecutive quarters, and the bank achieved investment-grade ratings in March 2026 [1]. Revenue grew 19% YoY to $1.88B from a depressed base, and 13 analysts have an average 'Buy' rating with a $14.62 target (12% upside) [1]. The plan to hire 100 commercial bankers and build a diversified regional bank franchise has credible leadership in Otting (former Comptroller of the Currency) and Mnuchin-backed financial support.</w:t>
      </w:r>
    </w:p>
    <w:p>
      <w:pPr>
        <w:spacing w:after="120"/>
      </w:pPr>
      <w:r>
        <w:rPr>
          <w:rFonts w:ascii="Calibri" w:hAnsi="Calibri"/>
          <w:b w:val="0"/>
          <w:color w:val="3A4A28"/>
          <w:sz w:val="20"/>
        </w:rPr>
        <w:t>The bear case is substantial for a bank still recovering from existential crisis. Non-performing loans continue growing even as the balance sheet shrinks, signaling that CRE credit losses are not yet fully resolved [3]. The CRE portfolio still contains $38.3B in exposure (down from $50.6B) with particular vulnerability to NYC rent-regulated multifamily properties whose values collapsed after 2019 rent reform legislation [3]. The dividend has been effectively eliminated ($0.04 annual vs $2.04 pre-crisis), and operating cash flow is negative at -$181M [4]. Governance scandals including discriminatory lending findings by the OCC, whistleblower retaliation allegations, and executive misconduct complaints create reputational and legal risk [3]. The bank's institutional identity remains unsettled after three name changes in two years, and the concentration of insider ownership from the Mnuchin-led rescue creates principal-agent tensions. Profitability at $0.05 EPS quarterly remains fragile — one bad CRE quarter could reverse the recovery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Investment-grade rating upgrade (March 2026) reduces funding costs and expands the depositor and counterparty base, supporting NIM expansion and deposit growth [1]</w:t>
      </w:r>
    </w:p>
    <w:p>
      <w:pPr>
        <w:spacing w:before="40" w:after="40"/>
        <w:ind w:left="283"/>
      </w:pPr>
      <w:r>
        <w:rPr>
          <w:rFonts w:ascii="Calibri" w:hAnsi="Calibri"/>
          <w:b/>
          <w:color w:val="4A6B25"/>
          <w:sz w:val="20"/>
        </w:rPr>
        <w:t xml:space="preserve">2. </w:t>
      </w:r>
      <w:r>
        <w:rPr>
          <w:rFonts w:ascii="Calibri" w:hAnsi="Calibri"/>
          <w:b w:val="0"/>
          <w:color w:val="3A4A28"/>
          <w:sz w:val="20"/>
        </w:rPr>
        <w:t>C&amp;I loan growth acceleration — originations up 41% QoQ with plans to hire 100 commercial bankers, diversifying away from the CRE-heavy legacy portfolio [1]</w:t>
      </w:r>
    </w:p>
    <w:p>
      <w:pPr>
        <w:spacing w:before="40" w:after="40"/>
        <w:ind w:left="283"/>
      </w:pPr>
      <w:r>
        <w:rPr>
          <w:rFonts w:ascii="Calibri" w:hAnsi="Calibri"/>
          <w:b/>
          <w:color w:val="4A6B25"/>
          <w:sz w:val="20"/>
        </w:rPr>
        <w:t xml:space="preserve">3. </w:t>
      </w:r>
      <w:r>
        <w:rPr>
          <w:rFonts w:ascii="Calibri" w:hAnsi="Calibri"/>
          <w:b w:val="0"/>
          <w:color w:val="3A4A28"/>
          <w:sz w:val="20"/>
        </w:rPr>
        <w:t>0.72x price-to-book discount implies $5+ per share of embedded value if ROE normalizes to peer levels of 8-10%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 credit deterioration — $38.3B in remaining CRE exposure with growing non-performing loans, particularly in NYC rent-regulated multifamily properties affected by 2019 rent reforms [3]</w:t>
      </w:r>
    </w:p>
    <w:p>
      <w:pPr>
        <w:spacing w:before="40" w:after="40"/>
        <w:ind w:left="283"/>
      </w:pPr>
      <w:r>
        <w:rPr>
          <w:rFonts w:ascii="Calibri" w:hAnsi="Calibri"/>
          <w:b/>
          <w:color w:val="4A6B25"/>
          <w:sz w:val="20"/>
        </w:rPr>
        <w:t xml:space="preserve">2. </w:t>
      </w:r>
      <w:r>
        <w:rPr>
          <w:rFonts w:ascii="Calibri" w:hAnsi="Calibri"/>
          <w:b w:val="0"/>
          <w:color w:val="3A4A28"/>
          <w:sz w:val="20"/>
        </w:rPr>
        <w:t>Governance and legal risk — OCC discriminatory lending findings, whistleblower retaliation lawsuit, and executive misconduct allegations create ongoing regulatory and litigation exposure [3]</w:t>
      </w:r>
    </w:p>
    <w:p>
      <w:pPr>
        <w:spacing w:before="40" w:after="40"/>
        <w:ind w:left="283"/>
      </w:pPr>
      <w:r>
        <w:rPr>
          <w:rFonts w:ascii="Calibri" w:hAnsi="Calibri"/>
          <w:b/>
          <w:color w:val="4A6B25"/>
          <w:sz w:val="20"/>
        </w:rPr>
        <w:t xml:space="preserve">3. </w:t>
      </w:r>
      <w:r>
        <w:rPr>
          <w:rFonts w:ascii="Calibri" w:hAnsi="Calibri"/>
          <w:b w:val="0"/>
          <w:color w:val="3A4A28"/>
          <w:sz w:val="20"/>
        </w:rPr>
        <w:t>Turnaround execution risk — profitability at $0.05 quarterly EPS is razor-thin, operating cash flow is negative, and the bank has changed names three times and CFOs twice in two years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Regional banking is moderately protected from AI disruption — regulatory requirements, physical branch presence, and relationship-based commercial lending provide meaningful moats against AI-native competitors [2]. Flagstar's pivot toward C&amp;I lending and commercial banking is more defensible than consumer banking. However, fintechs continue to pressure deposit gathering and consumer lending margins, and Flagstar's technology infrastructure is still being consolidated from legacy systems [2]. The bank's weakened competitive position post-crisis makes it more vulnerable to technology-driven disruption than healthier peers. AI Opportunity (0/1): Flagstar is in the earliest stages of AI adoption for internal credit analysis and efficiency improvements, with no AI-related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Flagstar Bank Q3-Q4 2025 earnings, turnaround progress — return to profitability, C&amp;I loan growth, NIM improvement; StockAnalysis.com revenue data</w:t>
      </w:r>
    </w:p>
    <w:p>
      <w:pPr>
        <w:spacing w:before="20" w:after="20"/>
        <w:ind w:left="170"/>
      </w:pPr>
      <w:r>
        <w:rPr>
          <w:rFonts w:ascii="Calibri" w:hAnsi="Calibri"/>
          <w:b/>
          <w:color w:val="4A6B25"/>
          <w:sz w:val="15"/>
        </w:rPr>
        <w:t xml:space="preserve">2. </w:t>
      </w:r>
      <w:r>
        <w:rPr>
          <w:rFonts w:ascii="Calibri" w:hAnsi="Calibri"/>
          <w:b w:val="0"/>
          <w:color w:val="3A4A28"/>
          <w:sz w:val="17"/>
        </w:rPr>
        <w:t>American Banker — 'How Joseph Otting plans to pull off turnaround of Flagstar'; CEO-NA interview with Rich Raffetto on 2026 vision; Flagstar senior leadership appointments</w:t>
      </w:r>
    </w:p>
    <w:p>
      <w:pPr>
        <w:spacing w:before="20" w:after="20"/>
        <w:ind w:left="170"/>
      </w:pPr>
      <w:r>
        <w:rPr>
          <w:rFonts w:ascii="Calibri" w:hAnsi="Calibri"/>
          <w:b/>
          <w:color w:val="4A6B25"/>
          <w:sz w:val="15"/>
        </w:rPr>
        <w:t xml:space="preserve">3. </w:t>
      </w:r>
      <w:r>
        <w:rPr>
          <w:rFonts w:ascii="Calibri" w:hAnsi="Calibri"/>
          <w:b w:val="0"/>
          <w:color w:val="3A4A28"/>
          <w:sz w:val="17"/>
        </w:rPr>
        <w:t>Banking Dive, Bisnow, BetterMarkets — Flagstar CRE crisis, discriminatory lending, whistleblower lawsuit, DiNello departure, NYCB collapse timeline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FLG dividend history, insider transactions,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FLG key statistics (Forward P/E, P/B, ROE, margins),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