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FLR</w:t>
      </w:r>
      <w:r>
        <w:rPr>
          <w:rFonts w:ascii="Calibri" w:hAnsi="Calibri"/>
          <w:b/>
          <w:color w:val="1A2010"/>
          <w:sz w:val="40"/>
        </w:rPr>
        <w:t xml:space="preserve">  Fluor Corporation</w:t>
      </w:r>
    </w:p>
    <w:p>
      <w:pPr>
        <w:spacing w:after="120"/>
      </w:pPr>
      <w:r>
        <w:rPr>
          <w:rFonts w:ascii="Calibri" w:hAnsi="Calibri"/>
          <w:b/>
          <w:color w:val="6E8450"/>
          <w:sz w:val="18"/>
        </w:rPr>
        <w:t>GROWTH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Fluor Corporation provides engineering, procurement, and construction (EPC) services through three segments: Urban Solutions (advanced technologies, life sciences, mining, infrastructure), Energy Solutions (oil &amp; gas, LNG, nuclear, energy transition), and Mission Solutions (U.S. government, nuclear remediation, defense). The company operates globally with a $25.5B backlog and was founded in 1912, headquartered in Irving, Texas.</w:t>
      </w:r>
    </w:p>
    <w:p>
      <w:r>
        <w:rPr>
          <w:rFonts w:ascii="Calibri" w:hAnsi="Calibri"/>
          <w:b/>
          <w:color w:val="6E8450"/>
          <w:sz w:val="18"/>
        </w:rPr>
        <w:t>22,995 Employees · https://www.fluor.com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Fluor has successfully pivoted toward high-growth end markets including data centers, nuclear energy, LNG, and energy transition over the past 3-5 years, building a $25.5B backlog that is 81% reimbursable — a deliberate shift toward lower-risk contract structures that represents meaningful business model evolution [1]. Revenue grew from $13.7B in 2022 to $15.5B in 2025 across diversified end markets. AI Deployment (0/2): No evidence of significant AI deployment in customer-facing products or quantified internal AI-driven efficiency gains; Fluor remains a project-execution business with traditional engineering workflows [2]. Market Share (2/2): Fluor is a top-tier global EPC firm competing with Bechtel, Jacobs, and KBR for the largest infrastructure projects. The company holds leading positions in LNG, nuclear remediation, and defense logistics, with the Mission Solutions segment providing stable U.S. government work [1]. Pipeline (1/2): The $25.5B backlog provides strong visibility, with management expecting roughly half to convert to 2026 revenue and a book-to-burn ratio exceeding 1, supported by prospects across LNG, copper, gas-fired power, nuclear, data centers, and defense [1]. R&amp;D Intensity (1/1): Fluor invests in proprietary process technology, modular construction methods, and engineering automation tools, positioning at or above industry average for EPC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Fluor's purpose is built around four core values — Safety, Teamwork, Integrity, and Excellence — which are genuine but functionally similar to most industrial companies [2]. The company articulates its role as building a better world through infrastructure, but the mission lacks the specificity and aspiration that would distinguish it from peers like Bechtel or Jacobs. Community Impact (1/2): Fluor focuses charitable efforts in education, public health, economic development, and environment — structured programs aligned with the company's global operations [3]. However, specific dollar amounts and distinctive community investment are not prominently disclosed. Employee Retention (1/2): Fluor invests in next-generation project leaders through stretch assignments and strategic onboarding under new CEO Jim Breuer (appointed May 2025), suggesting attention to talent development [2]. The company employs 22,995 people globally. Insider Buying (1/2): New CEO Jim Breuer's appointment to the COO role before elevation to CEO suggests board confidence in internal succession planning. However, no evidence of significant recent insider buying by executives in the open market.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Fluor's financial profile reflects a turnaround in progress. The standout metric is the ultra-low D/E of 32.7% with $3.8B cash against $1.1B debt — a fortress balance sheet for an EPC firm [4]. Forward P/E of 15.1x and trailing PEG ratio of 1.19 are attractively valued for a company with a $25.5B backlog and 23.3% consensus EPS growth expectations for 2026 [1]. However, profitability metrics are currently poor: profit margin of -0.33% and ROE of -1.7% reflect the GAAP net loss of $51M in 2025, both scoring 0 [4]. Revenue declined 2% YoY to $15.5B, though the backlog suggests this is temporary. The 3-year revenue CAGR of 4.1% is modest. Adjusted EBITDA guidance of $525-585M for 2026 implies significant margin improvement ahead. Liquidity floor easily cleared at $137M daily (2.79M avg volume x $49.07)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Fluor demonstrates mixed infinite game characteristics. The company's 114-year history and successful navigation through multiple industry cycles show resilience, and the deliberate pivot toward reimbursable contracts and higher-growth end markets reflects strategic evolution. However, the recent GAAP losses, CEO transition, and ESG controversy flag (Sustainalytics level 5) suggest the company is still stabilizing rather than playing from a position of infinite game strength.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Fluor's cause — building the world's critical infrastructure safely and with integrity — has been validated by 114 years of continuous operation through wars, recessions, and industry transformations [2]. The company builds the physical infrastructure that enables modern civilization, from energy systems to defense facilities to data centers. This is a genuine and enduring purpose, though it is shared broadly across the EPC industry and lacks the distinctive aspiration that Sinek associates with the highest-scoring causes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Fluor's four core values (Safety, Teamwork, Integrity, Excellence) are embedded in operations, and the company invests in developing next-generation project leaders through stretch assignments [2]. The 22,995-person global workforce operates across complex, long-duration projects requiring high trust. However, the CEO transition (Jim Breuer appointed May 2025) introduces leadership uncertainty, and the Sustainalytics controversy level 5 flag suggests organizational challenges. No exceptional retention data available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Fluor operates in a competitive landscape with Bechtel, Jacobs, KBR, and AECOM, and the company's shift toward reimbursable contracts and selective bidding suggests learning from past project losses. However, no evidence of management explicitly acknowledging competitors' strengths or framing competition as a catalyst for self-improvement in public communications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Fluor has demonstrated incremental flexibility by shifting its backlog composition to 81% reimbursable contracts (reducing fixed-price risk), pivoting toward energy transition markets (nuclear, hydrogen, carbon capture), and adding data center construction as a growth vertical [1]. These are meaningful strategic shifts within the company's EPC framework, though they represent evolution rather than the transformative reinvention that earns full marks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Fluor has shown courage in completing its share buyback program and accepting near-term GAAP losses while repositioning the backlog toward higher-quality, lower-risk contracts [1]. The deliberate shift away from risky fixed-price work — even at the cost of short-term revenue — reflects long-term thinking. The new CEO appointment and 2026 EBITDA guidance of $525-585M suggest confidence in the turnaround trajectory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Fluor is a top-tier global EPC firm with a $25.5B backlog (81% reimbursable) positioned at the intersection of multiple secular growth themes: data center construction, LNG expansion, nuclear energy revival, energy transition, and defense modernization [1]. The company is establishing 2026 adjusted EBITDA guidance of $525-585M, with consensus expecting 23.3% EPS growth and a 3.4% revenue increase, supported by a book-to-burn ratio exceeding 1 [1]. The balance sheet is exceptionally strong with $3.8B cash against $1.1B debt (D/E just 32.7%), providing flexibility for share buybacks and strategic investments [4]. At 15.1x forward P/E with a trailing PEG of 1.19, the stock is attractively valued for a company emerging from its turnaround with significant earnings leverage as the backlog converts to revenue.</w:t>
      </w:r>
    </w:p>
    <w:p>
      <w:pPr>
        <w:spacing w:after="120"/>
      </w:pPr>
      <w:r>
        <w:rPr>
          <w:rFonts w:ascii="Calibri" w:hAnsi="Calibri"/>
          <w:b w:val="0"/>
          <w:color w:val="3A4A28"/>
          <w:sz w:val="20"/>
        </w:rPr>
        <w:t>The bear case centers on profitability uncertainty and execution risk. Fluor reported a GAAP net loss of $51M in 2025 with negative profit margin of -0.33% and negative ROE of -1.7%, meaning the turnaround to profitability is not yet complete [4]. Revenue declined 2% YoY in 2025 despite the strong backlog, and the 3-year revenue CAGR of 4.1% is modest. The CEO transition (Jim Breuer, May 2025) introduces leadership uncertainty during a critical execution period. Sustainalytics assigns a controversy level 5 (significant) and a 'High' ESG risk score of 33, suggesting unresolved governance or operational issues [3]. EPC project execution inherently carries risk — cost overruns, schedule delays, and client disputes can rapidly erode margins, particularly on the 19% of backlog that is not reimbursable. Operating cash flow was negative at -$387M in 2025, and free cash flow was -$292M, raising questions about when cash generation will match the earnings improvement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conversion — $25.5B backlog with roughly half expected to convert to 2026 revenue, providing a visible and growing revenue pipeline across LNG, nuclear, data centers, and defense [1]</w:t>
      </w:r>
    </w:p>
    <w:p>
      <w:pPr>
        <w:spacing w:before="40" w:after="40"/>
        <w:ind w:left="283"/>
      </w:pPr>
      <w:r>
        <w:rPr>
          <w:rFonts w:ascii="Calibri" w:hAnsi="Calibri"/>
          <w:b/>
          <w:color w:val="4A6B25"/>
          <w:sz w:val="20"/>
        </w:rPr>
        <w:t xml:space="preserve">2. </w:t>
      </w:r>
      <w:r>
        <w:rPr>
          <w:rFonts w:ascii="Calibri" w:hAnsi="Calibri"/>
          <w:b w:val="0"/>
          <w:color w:val="3A4A28"/>
          <w:sz w:val="20"/>
        </w:rPr>
        <w:t>Earnings inflection from GAAP loss to consensus forward EPS of $3.25, representing the completion of Fluor's multi-year turnaround as margin-accretive reimbursable work dominates the revenue mix [1]</w:t>
      </w:r>
    </w:p>
    <w:p>
      <w:pPr>
        <w:spacing w:before="40" w:after="40"/>
        <w:ind w:left="283"/>
      </w:pPr>
      <w:r>
        <w:rPr>
          <w:rFonts w:ascii="Calibri" w:hAnsi="Calibri"/>
          <w:b/>
          <w:color w:val="4A6B25"/>
          <w:sz w:val="20"/>
        </w:rPr>
        <w:t xml:space="preserve">3. </w:t>
      </w:r>
      <w:r>
        <w:rPr>
          <w:rFonts w:ascii="Calibri" w:hAnsi="Calibri"/>
          <w:b w:val="0"/>
          <w:color w:val="3A4A28"/>
          <w:sz w:val="20"/>
        </w:rPr>
        <w:t>AI-driven infrastructure demand — data center construction and power generation projects in the pipeline benefit directly from the massive capital expenditure cycle driven by hyperscaler AI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turnaround execution risk — 2025 GAAP loss of $51M and negative operating cash flow of -$387M mean the transition to sustainable profitability is not yet proven [4]</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Jim Breuer appointed May 2025 must execute on backlog conversion and margin improvement while establishing credibility with investors during a critical inflection period [2]</w:t>
      </w:r>
    </w:p>
    <w:p>
      <w:pPr>
        <w:spacing w:before="40" w:after="40"/>
        <w:ind w:left="283"/>
      </w:pPr>
      <w:r>
        <w:rPr>
          <w:rFonts w:ascii="Calibri" w:hAnsi="Calibri"/>
          <w:b/>
          <w:color w:val="4A6B25"/>
          <w:sz w:val="20"/>
        </w:rPr>
        <w:t xml:space="preserve">3. </w:t>
      </w:r>
      <w:r>
        <w:rPr>
          <w:rFonts w:ascii="Calibri" w:hAnsi="Calibri"/>
          <w:b w:val="0"/>
          <w:color w:val="3A4A28"/>
          <w:sz w:val="20"/>
        </w:rPr>
        <w:t>EPC project execution risk — 19% of $25.5B backlog is non-reimbursable, and cost overruns or schedule delays on major projects could materially impact margins and repeat the losses that plagued Fluor in prior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Fluor's core business — engineering, procurement, and construction of physical infrastructure — is structurally immune to AI substitution. Building LNG terminals, nuclear facilities, data centers, and defense installations requires physical-world execution, regulatory compliance, and on-the-ground project management that AI cannot replace [1]. The company's Mission Solutions segment serves U.S. government and military customers with highly classified work that requires human judgment and security clearances. More importantly, AI is a direct demand driver: data center construction is a growing end market within Fluor's backlog, and the energy transition (nuclear, hydrogen, carbon capture) generates incremental EPC demand as AI increases global electricity consumption [1]. AI Opportunity (1/1): Fluor directly benefits from AI-driven infrastructure demand, with data center construction identified as a key prospect in the 2026 pipeline and energy solutions work supporting the power generation required for AI compute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Fluor Corporation — Q4 and Full Year 2025 Results, $15.5B revenue, -$51M net income, $25.5B backlog, 2026 EBITDA guidance $525-585M, February 2026</w:t>
      </w:r>
    </w:p>
    <w:p>
      <w:pPr>
        <w:spacing w:before="20" w:after="20"/>
        <w:ind w:left="170"/>
      </w:pPr>
      <w:r>
        <w:rPr>
          <w:rFonts w:ascii="Calibri" w:hAnsi="Calibri"/>
          <w:b/>
          <w:color w:val="4A6B25"/>
          <w:sz w:val="15"/>
        </w:rPr>
        <w:t xml:space="preserve">2. </w:t>
      </w:r>
      <w:r>
        <w:rPr>
          <w:rFonts w:ascii="Calibri" w:hAnsi="Calibri"/>
          <w:b w:val="0"/>
          <w:color w:val="3A4A28"/>
          <w:sz w:val="17"/>
        </w:rPr>
        <w:t>Fluor Corporation — Management Team, CEO Jim Breuer, core values, next-generation leader development,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Yahoo Finance — Fluor ESG Risk Rating 33 (High), Controversy Level 5 (Significant), sustainability reporting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FLR (Fluor Corporation), retrieved April 10,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'Can Fluor's $25.5B Backlog Support Revenue Growth in 2026?'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