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FLS</w:t>
      </w:r>
      <w:r>
        <w:rPr>
          <w:rFonts w:ascii="Calibri" w:hAnsi="Calibri"/>
          <w:b/>
          <w:color w:val="1A2010"/>
          <w:sz w:val="40"/>
        </w:rPr>
        <w:t xml:space="preserve">  Flowserve Corporation</w:t>
      </w:r>
    </w:p>
    <w:p>
      <w:pPr>
        <w:spacing w:after="120"/>
      </w:pPr>
      <w:r>
        <w:rPr>
          <w:rFonts w:ascii="Calibri" w:hAnsi="Calibri"/>
          <w:b/>
          <w:color w:val="6E8450"/>
          <w:sz w:val="18"/>
        </w:rPr>
        <w:t>GROWTH SLEEVE · 2026-04-27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Flowserve designs, manufactures, and services industrial flow management equipment including engineered pumps, valves, seals, and actuators used in oil and gas, power generation, chemical processing, water management, and general industrial applications across 50+ countries. Founded in 1790 and headquartered in Irving, Texas.</w:t>
      </w:r>
    </w:p>
    <w:p>
      <w:r>
        <w:rPr>
          <w:rFonts w:ascii="Calibri" w:hAnsi="Calibri"/>
          <w:b/>
          <w:color w:val="6E8450"/>
          <w:sz w:val="18"/>
        </w:rPr>
        <w:t>16,000 Employees · https://www.flowserve.com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Flowserve has executed meaningful strategic pivots over the past five years, acquiring MOGAS Industries (2024) and the Trillium Flow Technologies Valves Division to expand nuclear and LNG capabilities [1]. Full year 2025 bookings of $4.7B included ~$400M in nuclear awards, demonstrating successful positioning in the energy transition [1]. AI Deployment (0/2): No evidence of AI-powered products shipping to customers or quantified internal AI-driven efficiency gains; Glassdoor reviews note the company uses older methodologies and has built-in resistance to technological change [3]. Market Share (2/2): Flowserve is a global leader in flow control equipment, operating in 50+ countries with dominant positions in engineered pumps, valves, and seals for critical infrastructure applications [1]. Pipeline (1/2): The company has established 2030 targets including ~20% adjusted operating margin and double-digit adjusted EPS CAGR, with specific nuclear and energy transition pipeline visibility, though product-level next-gen timelines are vague [1]. R&amp;D Intensity (1/1): R&amp;D spending supports proprietary pump and valve technologies across critical industrial applications, consistent with specialty industrial machinery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Flowserve's mission — 'Together, We Create Extraordinary Flow Control Solutions To Make The World Better For Everyone' — identifies the company's work and societal impact but lacks the distinctive depth or decade-validated execution that would elevate it beyond a clear-but-generic industrial purpose statement [4]. Community Impact (1/2): Recognized by Newsweek as one of America's Most Responsible Companies and America's Greenest Companies; ESG framework organized around Climate, Culture, and Core Responsibility pillars, though specific dollar amounts for community investment programs are not publicly detailed [5]. Employee Retention (1/2): Mixed Glassdoor reviews cite 'great big company, community culture' alongside complaints about 'toxic environment' and lack of internal leadership development; average for the industrial sector with no standout retention data [3]. Insider Buying (1/2): Management returned $365M to shareholders in 2025 through dividends and buybacks, demonstrating capital allocation conviction, though specific net insider purchase data for 2025-2026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Flowserve's financial profile shows improving fundamentals with some weak spots. Full year 2025 revenue of $4.73B (3.5% YoY growth) with adjusted operating margin of 16.8%, achieving the 2027 target two years early [1]. Forward P/E of 17.9x is attractive for an industrial compounder with 13% EPS growth guidance. ROE of 17.2% exceeds the 15% target. D/E of 78.1% is slightly above the 70% ideal but well within acceptable range. The main drag is profit margin of 7.3% (GAAP), below the 20% target typical of asset-light businesses — typical for capital goods manufacturing. Free cash flow of $435M in 2025 provides ample coverage for the $0.88/share dividend (31.8% payout ratio) [1]. PEG of 2.01 reflects moderate growth expectations. Estimated 5-year revenue CAGR of ~5.0% is below the 10% target. Liquidity easily cleared at $149M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Flowserve under CEO Scott Rowe (since 2017) demonstrates mixed infinite game characteristics — the company has a long institutional history (founded 1790) and is making strategic investments in nuclear and energy transition that position it for multi-decade relevance, but the execution culture shows finite-game tendencies with quarterly margin optimization and acquisition-driven growth rather than organic innovation.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Flowserve's purpose — making the world better through flow control solutions — connects the company's work to essential infrastructure: clean water, reliable power generation, and safe chemical processing [4]. The 236-year corporate history provides unusual continuity of purpose. However, the cause reads more as an industrial mission than a transformative Just Cause that would inspire sacrifice. The energy transition pivot (nuclear, hydrogen, CCUS) adds genuine forward-looking purpose, earning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evidence on organizational trust. The Flowserve Business System has driven operational consistency and margin improvement, and the executive team is rated A+ on Comparably [3]. However, Glassdoor reviews describe inconsistent leadership quality, lack of accountability, and resistance to change in some divisions [3]. Leadership continuity under Rowe since 2017 provides stability, but the culture appears adequate rather than exceptional for an industrial company.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Flowserve acknowledges competitors' strengths and uses rivalry to improve. The acquisitions of MOGAS and Trillium Valves Division were strategic responses to competitive gaps in nuclear and high-spec valve markets rather than market-share grabs [1]. Management's 3D growth strategy (Diversify, Decarbonize, Digitize) reflects competitive awareness of industry evolution.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Flowserve has shown incremental flexibility — pivoting from oil and gas dependence toward nuclear, hydrogen, and CCUS applications through acquisitions and organic R&amp;D [1]. The 2030 targets and acquisition strategy represent meaningful business evolution. However, these are adjacent-market extensions rather than transformative reinventions of the business model. The company remains fundamentally a flow control equipment manufacturer, which is both a strength (consistency) and a limitation (no existential pivots).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Rowe's leadership has shown some courage — investing in nuclear capabilities through acquisitions at a time when nuclear sentiment was still mixed, and achieving margin targets two years ahead of schedule through operational discipline [1]. The 2030 vision targeting ~20% operating margins and double-digit EPS CAGR shows ambition. However, organic growth guidance of only 1-3% for 2026 suggests the company relies on acquisitions rather than courageous organic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Flowserve is a well-positioned industrial compounder benefiting from secular tailwinds in nuclear energy, hydrogen, and decarbonization infrastructure. Full year 2025 revenue of $4.73B with adjusted operating margin of 16.8% — achieved two years ahead of the 2027 target — demonstrates operational execution under the Flowserve Business System [1]. The $2.9B backlog provides 7+ months of revenue visibility, and 2026 guidance of 5-7% revenue growth with adjusted EPS of $4.00-$4.20 (13% YoY growth at midpoint) reflects confidence [1]. At 17.9x forward P/E, the stock is reasonably valued for an industrial company with improving margins targeting ~20% adjusted operating margin by 2030. Free cash flow of $435M (2025) supports both the dividend and strategic acquisitions like MOGAS and Trillium Valves that expand nuclear and high-spec capabilities [1]. The Inspire Impact Score of 53 (ALIGNED) reflects strong ESG positioning with zero negative attributions.</w:t>
      </w:r>
    </w:p>
    <w:p>
      <w:pPr>
        <w:spacing w:after="120"/>
      </w:pPr>
      <w:r>
        <w:rPr>
          <w:rFonts w:ascii="Calibri" w:hAnsi="Calibri"/>
          <w:b w:val="0"/>
          <w:color w:val="3A4A28"/>
          <w:sz w:val="20"/>
        </w:rPr>
        <w:t>The bear case centers on organic growth limitations and acquisition integration risk. Organic revenue growth guidance of only 1-3% for 2026 is modest, meaning the projected 5-7% total growth relies heavily on ~$490M in acquisition-led expansion rather than underlying market momentum [1]. GAAP profit margin of 7.3% is low for the stock's 31.5x trailing P/E, creating vulnerability if adjusted-to-GAAP earnings quality is questioned [6]. Cyclical exposure to oil and gas capital spending (still a significant end market) creates downside risk if energy capex slows. The PEG ratio of 2.01 suggests the growth rate may not justify the valuation premium. Integration of recent acquisitions (MOGAS, Trillium) introduces execution risk. Glassdoor reviews describing cultural resistance to change and inconsistent leadership quality raise concerns about the company's ability to execute its digital transformation ambitions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Nuclear energy buildout driving incremental bookings — $400M in nuclear awards in 2025 with Trillium Valves acquisition expanding nuclear valve capabilities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trajectory toward ~20% adjusted operating margin by 2030, with the Flowserve Business System already achieving the 2027 target two years early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infrastructure spending in hydrogen, CCUS, and LNG creating new addressable markets for engineered flow control equipment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stagnation — 1-3% organic growth guidance for 2026 suggests limited pricing power and market share gains without acquisitions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from MOGAS and Trillium Valves, with ~$490M in acquisition-led revenue contributing disproportionately to 2026 growth targets [1]</w:t>
      </w:r>
    </w:p>
    <w:p>
      <w:pPr>
        <w:spacing w:before="40" w:after="40"/>
        <w:ind w:left="283"/>
      </w:pPr>
      <w:r>
        <w:rPr>
          <w:rFonts w:ascii="Calibri" w:hAnsi="Calibri"/>
          <w:b/>
          <w:color w:val="4A6B25"/>
          <w:sz w:val="20"/>
        </w:rPr>
        <w:t xml:space="preserve">3. </w:t>
      </w:r>
      <w:r>
        <w:rPr>
          <w:rFonts w:ascii="Calibri" w:hAnsi="Calibri"/>
          <w:b w:val="0"/>
          <w:color w:val="3A4A28"/>
          <w:sz w:val="20"/>
        </w:rPr>
        <w:t>Oil and gas capex cyclicality — a downturn in energy capital spending would pressure Flowserve's largest end market and backlog conversion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Flowserve's core business — manufacturing, installing, and servicing engineered pumps, valves, and seals for oil and gas, power generation, chemical, and water industries — is structurally immune to AI displacement [1]. These are physical-world products requiring precision engineering, metallurgy expertise, and field service capabilities that AI cannot substitute. AI actually increases demand for Flowserve's products: data center cooling systems require pumps and flow control equipment, and the energy transition (nuclear, hydrogen, CCUS) drives incremental bookings — $400M in nuclear awards alone in 2025 [1]. Regulatory requirements for safety-critical flow control equipment in nuclear and chemical processing create additional moats against AI disruption. AI Opportunity (0/1): No evidence of meaningful AI-generated revenue or AI-powered products shipping to customers; internal digital initiatives remain early-stage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Flowserve Q4/Full Year 2025 Earnings Release — $4.73B revenue, $1.11 Q4 EPS, 16.8% adjusted operating margin, February 5, 2026</w:t>
      </w:r>
    </w:p>
    <w:p>
      <w:pPr>
        <w:spacing w:before="20" w:after="20"/>
        <w:ind w:left="170"/>
      </w:pPr>
      <w:r>
        <w:rPr>
          <w:rFonts w:ascii="Calibri" w:hAnsi="Calibri"/>
          <w:b/>
          <w:color w:val="4A6B25"/>
          <w:sz w:val="15"/>
        </w:rPr>
        <w:t xml:space="preserve">2. </w:t>
      </w:r>
      <w:r>
        <w:rPr>
          <w:rFonts w:ascii="Calibri" w:hAnsi="Calibri"/>
          <w:b w:val="0"/>
          <w:color w:val="3A4A28"/>
          <w:sz w:val="17"/>
        </w:rPr>
        <w:t>Flowserve 2026 Guidance — $5.0-5.1B revenue, $4.00-$4.20 adjusted EPS, 5-7% total sales growth,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for Flowserve — 1,543 reviews, employee sentiment on culture, leadership, and innovation,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Flowserve Corporate Website — Mission, vision, ESG framework, and strategic priorities,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Flowserve ESG Report — Newsweek recognition, Climate/Culture/Core Responsibility framework, 2023-2025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FLS (Flowserve Corporation),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