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FLYX</w:t>
      </w:r>
      <w:r>
        <w:rPr>
          <w:rFonts w:ascii="Calibri" w:hAnsi="Calibri"/>
          <w:b/>
          <w:color w:val="1A2010"/>
          <w:sz w:val="40"/>
        </w:rPr>
        <w:t xml:space="preserve">  flyExclusive, Inc.</w:t>
      </w:r>
    </w:p>
    <w:p>
      <w:pPr>
        <w:spacing w:after="120"/>
      </w:pPr>
      <w:r>
        <w:rPr>
          <w:rFonts w:ascii="Calibri" w:hAnsi="Calibri"/>
          <w:b/>
          <w:color w:val="6E8450"/>
          <w:sz w:val="18"/>
        </w:rPr>
        <w:t>GROWTH SLEEVE · 2026-04-12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American · United States</w:t>
      </w:r>
    </w:p>
    <w:p>
      <w:pPr>
        <w:spacing w:after="80"/>
      </w:pPr>
      <w:r>
        <w:rPr>
          <w:rFonts w:ascii="Calibri" w:hAnsi="Calibri"/>
          <w:b w:val="0"/>
          <w:color w:val="3A4A28"/>
          <w:sz w:val="20"/>
        </w:rPr>
        <w:t>flyExclusive, Inc. is a vertically integrated private jet operator offering jet charter, fractional ownership, jet club membership, aircraft management, and maintenance services. Founded in 2015 by Jim Segrave and based in Kinston, North Carolina, the company operates one of the largest private jet fleets in North America.</w:t>
      </w:r>
    </w:p>
    <w:p>
      <w:r>
        <w:rPr>
          <w:rFonts w:ascii="Calibri" w:hAnsi="Calibri"/>
          <w:b/>
          <w:color w:val="6E8450"/>
          <w:sz w:val="18"/>
        </w:rPr>
        <w:t>800 Employees · https://www.flyexclusive.com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flyExclusive executed a clear growth pivot since its 2023 SPAC listing — building out fractional ownership, jet club, and vertical MRO capabilities; FY2025 revenue reached $376M (+~15% vs. 2024) with 14% fewer aircraft, a genuine efficiency improvement [1]. AI Deployment (0/2): No specific AI products or quantified AI-driven savings disclosed [2]. Market Share (1/2): A meaningful mid-market private jet operator but not a category leader — NetJets, Flexjet, Wheels Up and Vista Global dominate; Segrave has described "innovative" fractional offerings that are share-gaining but not leadership [2]. Pipeline (1/2): 2026 plan to add ~20 aircraft, grow flight hours 15% to 100,000 annualized run rate, and reach full-year EBITDA profitability is specific with timelines [1]. R&amp;D Intensity (1/1): FBO/MRO verticalization effectively acts as industry R&amp;D; management cites $25M annualized improvement from 10% dispatch reliability gain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flyExclusive's stated purpose is to be the leading private jet company for private travel — clear but generic relative to peers and lacks a transformative mission beyond premium aviation service [2]. Community Impact (1/2): Based in Kinston, NC (significant regional employer with 800 jobs) but no distinctive foundation or charitable program disclosed [2]. Employee Retention (0/2): Glassdoor 2.7/5 with only 39% willing to recommend, 2.6 on culture, 'constant threats from managers, constant major changes in shift, pay and policies' — this is a clear red flag on retention [2]. Insider Buying (1/2): Founder-CEO Jim Segrave remains heavily involved and the founder story is intact; strengthened executive team in late 2024/2025 (new CFO Brad Garner, COO Matt Lesmeister) suggests governance build-out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Weak balance sheet characteristics: stockholder equity is significantly negative per disclosures, making D/E ratio not meaningful but clearly well above the 300% floor (contributes 0) [3]. Pre-tax margin -22.2% for 2025; full-year 2025 net loss $67M on $376M revenue [1]. Short-term liabilities $275.9M and long-term $250.9M are substantial against cash flow [3]. FY2025 revenue +15% to $376M with positive Q4 EBITDA is directional improvement [1]. Forward P/E not meaningful (negative earnings). Liquidity floor cleared: avg volume ~2.6M × $3.98 ≈ $10.3M daily [4]. Classified as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flyExclusive has a founder-driven long-term vision under Jim Segrave and a strategically differentiated vertically integrated model, but Glassdoor data showing 'constant threats from managers' and 39% would-recommend undermines the trusting-teams requirement, and negative equity with persistent losses keeps the company in survival mode.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Segrave frames flyExclusive around operational excellence in private aviation, but the purpose is commercial service rather than a transformative Just Cause [2]. A distinctive, thoughtful operating thesis rather than a higher-order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2.7/5 with only 39% recommending, specific employee commentary about 'constant threats from managers' and 'constant major changes in shift, pay and policies' indicates a low-trust environment with fear-based management patterns [2]. This is the most concerning Sinek-lens data point in the profile.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Competitive framing against NetJets/Flexjet/Wheels Up is focused on share gain and operational advantage, not learning from rivals' strengths; language skews toward winning share rather than improving through competition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flyExclusive transitioned from charter operator to vertically integrated fractional/club/MRO model and went public via SPAC in 2023 — genuine but incremental evolution in a decade-old company [1]. Not yet a transformative pivot in the Sinek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Segrave has continued to invest in fleet and vertical capabilities despite negative equity and a declining stock price, rather than retrenching — one example of courage, but not a pattern [1]. The January 2026 equity offering at weak pricing was arguably a necessity rather than a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 case: flyExclusive is transitioning from growth-at-any-cost to operational discipline. FY2025 revenue of $376M grew 15% on 14% fewer aircraft, net loss narrowed to $67M, and Q4 posted positive EBITDA [1]. 2026 guidance targets full-year EBITDA profitability, 15% flight hour growth to a 100k annualized run rate, ~20 aircraft additions, and $25M annualized improvement from dispatch reliability gains [1]. Founder-CEO Jim Segrave has strengthened the executive bench (new CFO Brad Garner, COO Matt Lesmeister) and the vertically integrated MRO/FBO model differentiates flyExclusive from pure-charter peers [2].</w:t>
      </w:r>
    </w:p>
    <w:p>
      <w:pPr>
        <w:spacing w:after="120"/>
      </w:pPr>
      <w:r>
        <w:rPr>
          <w:rFonts w:ascii="Calibri" w:hAnsi="Calibri"/>
          <w:b w:val="0"/>
          <w:color w:val="3A4A28"/>
          <w:sz w:val="20"/>
        </w:rPr>
        <w:t>Bear case: flyExclusive has significantly negative stockholder equity with short-term liabilities of $275.9M and long-term of $250.9M, making the infrastructure score effectively 0 by IOWN's methodology [3]. The January 2026 dilutive secondary offering underwritten by Lucid Capital Markets sent the stock down 14%, reflecting ongoing capital structure fragility [3]. Glassdoor 2.7/5 with specific employee reports of 'constant threats from managers' and only 39% willing to recommend working there is a serious culture red flag [2]. Private aviation demand is cyclical and tightly correlated with high-net-worth wealth effects; any equity market correction would compress fractional and jet card sales. Competition from NetJets, Flexjet and Wheels Up is well-capitalized.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EBITDA profitability achieved vs. 2025 $67M net loss would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15% flight hour growth to 100k annualized run rate with ~20 aircraft additions drives revenue scale [1]</w:t>
      </w:r>
    </w:p>
    <w:p>
      <w:pPr>
        <w:spacing w:before="40" w:after="40"/>
        <w:ind w:left="283"/>
      </w:pPr>
      <w:r>
        <w:rPr>
          <w:rFonts w:ascii="Calibri" w:hAnsi="Calibri"/>
          <w:b/>
          <w:color w:val="4A6B25"/>
          <w:sz w:val="20"/>
        </w:rPr>
        <w:t xml:space="preserve">3. </w:t>
      </w:r>
      <w:r>
        <w:rPr>
          <w:rFonts w:ascii="Calibri" w:hAnsi="Calibri"/>
          <w:b w:val="0"/>
          <w:color w:val="3A4A28"/>
          <w:sz w:val="20"/>
        </w:rPr>
        <w:t>$25M annualized bottom-line improvement from 10% dispatch reliability gain is management's most specific efficiency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 equity and $526M total liabilities against modest cash flow keep the capital structure fragile — further dilution likely [3]</w:t>
      </w:r>
    </w:p>
    <w:p>
      <w:pPr>
        <w:spacing w:before="40" w:after="40"/>
        <w:ind w:left="283"/>
      </w:pPr>
      <w:r>
        <w:rPr>
          <w:rFonts w:ascii="Calibri" w:hAnsi="Calibri"/>
          <w:b/>
          <w:color w:val="4A6B25"/>
          <w:sz w:val="20"/>
        </w:rPr>
        <w:t xml:space="preserve">2. </w:t>
      </w:r>
      <w:r>
        <w:rPr>
          <w:rFonts w:ascii="Calibri" w:hAnsi="Calibri"/>
          <w:b w:val="0"/>
          <w:color w:val="3A4A28"/>
          <w:sz w:val="20"/>
        </w:rPr>
        <w:t>Glassdoor 2.7/5 with reports of fear-based management and 39% recommend rate threatens pilot/mechanic retention in a labor-constrained industry [2]</w:t>
      </w:r>
    </w:p>
    <w:p>
      <w:pPr>
        <w:spacing w:before="40" w:after="40"/>
        <w:ind w:left="283"/>
      </w:pPr>
      <w:r>
        <w:rPr>
          <w:rFonts w:ascii="Calibri" w:hAnsi="Calibri"/>
          <w:b/>
          <w:color w:val="4A6B25"/>
          <w:sz w:val="20"/>
        </w:rPr>
        <w:t xml:space="preserve">3. </w:t>
      </w:r>
      <w:r>
        <w:rPr>
          <w:rFonts w:ascii="Calibri" w:hAnsi="Calibri"/>
          <w:b w:val="0"/>
          <w:color w:val="3A4A28"/>
          <w:sz w:val="20"/>
        </w:rPr>
        <w:t>Private aviation demand is cyclical; any HNW wealth shock (equity correction, recession) would pressure fractional and jet card sales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Private jet charter, fractional ownership, flight operations, MRO, and FBO services are physical, heavily regulated (FAA Part 135), and involve credentialed pilots, mechanics, and aircraft assets that AI cannot replace [2]. AI may marginally improve dispatch, scheduling, and maintenance forecasting (which management is actively using to drive the 10% dispatch reliability improvement targeted for 2026), but the core revenue model is immune to substitution [1]. AI-driven productivity may accelerate private aviation demand as executives increase travel velocity. AI Opportunity (0/1): No explicit AI-driven revenue stream disclosed by flyExclusive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Private Jet Card Comparisons / FLYX investor communications — FY2025 revenue $376M (+15%), net loss $67M, Q4 positive EBITDA, 2026 profitability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flyExclusive 98 reviews (2.7/5, 39% recommend) and flyExclusive leadership page (CEO Jim Segrave, CFO Brad Garner, COO Matt Lesmeister)</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StocksToTrade / Investing.com — FLYX $3.98 price, negative equity, $275.9M short-term + $250.9M long-term liabilities, January 2026 dilutive offering</w:t>
      </w:r>
    </w:p>
    <w:p>
      <w:pPr>
        <w:spacing w:before="20" w:after="20"/>
        <w:ind w:left="170"/>
      </w:pPr>
      <w:r>
        <w:rPr>
          <w:rFonts w:ascii="Calibri" w:hAnsi="Calibri"/>
          <w:b/>
          <w:color w:val="4A6B25"/>
          <w:sz w:val="15"/>
        </w:rPr>
        <w:t xml:space="preserve">4. </w:t>
      </w:r>
      <w:r>
        <w:rPr>
          <w:rFonts w:ascii="Calibri" w:hAnsi="Calibri"/>
          <w:b w:val="0"/>
          <w:color w:val="3A4A28"/>
          <w:sz w:val="17"/>
        </w:rPr>
        <w:t>Yahoo Finance / Robinhood — FLYX average daily volume 2.0-2.6M shares,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