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FMC</w:t>
      </w:r>
      <w:r>
        <w:rPr>
          <w:rFonts w:ascii="Calibri" w:hAnsi="Calibri"/>
          <w:b/>
          <w:color w:val="1A2010"/>
          <w:sz w:val="40"/>
        </w:rPr>
        <w:t xml:space="preserve">  FMC Corporation</w:t>
      </w:r>
    </w:p>
    <w:p>
      <w:pPr>
        <w:spacing w:after="120"/>
      </w:pPr>
      <w:r>
        <w:rPr>
          <w:rFonts w:ascii="Calibri" w:hAnsi="Calibri"/>
          <w:b/>
          <w:color w:val="6E8450"/>
          <w:sz w:val="18"/>
        </w:rPr>
        <w:t>GROWTH SLEEVE · 2026-04-01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FMC Corporation is a global agricultural sciences company focused on crop protection solutions including insecticides, herbicides, fungicides, and biologicals. Key products include Rynaxypyr (diamide insecticide, now off-patent) and a pipeline of new active ingredients including Fluindapyr, Isoflex, and Dodhylex. The company is exploring strategic alternatives including a potential sale.</w:t>
      </w:r>
    </w:p>
    <w:p>
      <w:r>
        <w:rPr>
          <w:rFonts w:ascii="Calibri" w:hAnsi="Calibri"/>
          <w:b/>
          <w:color w:val="6E8450"/>
          <w:sz w:val="18"/>
        </w:rPr>
        <w:t>5,500 Employees · https://www.fmc.com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FMC has launched new active ingredients (Fluindapyr, Isoflex, Dodhylex) and expanded biologicals, but these have not offset the severe revenue decline from $5.8B (2022) to $3.5B (2025) driven by Rynaxypyr patent expiration and destocking [1]. The company failed to meet its 2023 Investor Day targets of $5.5-$6.0B revenue by 2026. AI Deployment (0/2): No evidence of AI products or measurable AI-driven cost savings; FMC's CTO has optimized R&amp;D with data analytics but this does not constitute AI deployment [2]. Market Share (2/2): FMC remains a global leader in diamide insecticides (Rynaxypyr) and is the only crop protection company on Newsweek's Most Responsible Companies list [3]. Strong positions in Latin America and Asia-Pacific with global regulatory registrations. Pipeline (2/2): Specific new active ingredients with timelines — sales of new AIs expected $300-$400M in 2026 (75%+ growth), with Fluindapyr, Isoflex, and Dodhylex contributing to 2026-2027 revenue, plus 100% of pipeline meeting sustainable innovation criteria [1][3]. R&amp;D Intensity (0/1): R&amp;D spending is in line with crop protection peers but not top-quartile, and R&amp;D investment has been constrained by the restructuring.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FMC's mission to help growers 'produce food, feed, fiber and fuel for an expanding world population' through innovative crop protection is clear and connects to food security, but is not distinctive among agricultural chemical companies — BASF, Syngenta, and Corteva make similar claims [2]. Community Impact (1/2): FMC was recognized on Newsweek's Most Responsible Companies list for three consecutive years (ranked #60), received Clean Company and Integrity Plus seals in Brazil, and has active Responsible Care programs [3]. Employee Retention (0/2): President Ronaldo Pereira departed after 28 years (December 2025), restructuring and transformation initiatives suggest organizational instability, and no positive retention data was identified [2]. Insider Buying (1/2): CEO Pierre Brondeau returned from retirement in June 2024 to lead the turnaround, signaling conviction in the company's recovery, though no specific insider purchase amounts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FMC's financials are severely distressed. Trailing EPS of -$17.59 reflects massive losses including goodwill impairments, with profit margin of -64.6% and ROE of -66.6% [4]. Revenue has declined 40% from $5.8B (2022) to $3.5B (2025), yielding a 5yr CAGR of approximately -5.7%. D/E of 200% is elevated, though management plans to pay down $1B in debt via asset sales/licensing in 2026 [1]. The dividend was cut from $2.32/share (2024) to $0.32 annualized, destroying the income thesis. The forward P/E of 7.6x is the lone bright spot, suggesting the market expects a significant earnings recovery to $2.25 forward EPS. 2026 guidance of $3.6-$3.8B revenue and $1.63-$1.89 adjusted EPS would represent meaningful improvement if achieved [1]. Liquidity is adequate at $74.9M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FMC's 140-year history demonstrates long-term staying power, but the current crisis — 40% revenue decline, massive losses, dividend cut, and CEO returning from retirement — suggests a company in survival mode rather than playing an infinite game. The exploration of strategic alternatives including sale indicates the board may be ready to end the game rather than continue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FMC's cause of feeding a growing world population through crop protection innovation is genuine and important but is shared by every competitor in the industry [2]. The 40% revenue decline and exploration of a potential sale suggest the cause is not deeply enough embedded to sustain the company through crisis — a company truly committed to its cause would not consider selling itself.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FMC is undergoing significant restructuring with a dedicated 'transformation management executive,' the president departed after 28 years, and the workforce has been reduced from higher levels. These are indicators of organizational instability that undermine trust [2]. No positive employee sentiment data was identified, and the ISS Compensation QualityScore of 10 (worst decile) suggests executive compensation is misaligned with shareholder outcomes. Score: 0/2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how FMC frames its competitive relationship with BASF, Corteva, Syngenta, or generic manufacturers. The company's communications focus on its own transformation rather than learning from competitors. The post-patent strategy for Rynaxypyr suggests reactive rather than proactive competitive thinking [1].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FMC has demonstrated flexibility historically — transforming from a diversified chemicals company into a pure-play crop protection leader through multiple divestitures over the past decade. The current pivot to biologicals and new active ingredients represents adaptation to the post-Rynaxypyr-patent landscape [1]. However, the 40% revenue decline suggests the pivot came too late, and the exploration of a sale indicates flexibility may have exhausted itself.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Pierre Brondeau's return from retirement in June 2024 to lead the turnaround demonstrates personal courage, and the decision to cut the dividend 86% to preserve cash for debt reduction and R&amp;D investment shows willingness to make unpopular short-term decisions [1][2]. However, the restructuring was forced by circumstances (patent expiration, revenue collapse) rather than proactive long-term vision.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FMC offers deep value at 7.6x forward earnings with a potential turnaround catalyst: 2026 guidance of $3.6-$3.8B revenue and $1.63-$1.89 adjusted EPS would represent a meaningful recovery from the -$17.59 trailing EPS disaster [1]. New active ingredient sales are expected to grow 75%+ to $300-$400M in 2026, diversifying beyond the post-patent Rynaxypyr franchise. The $1B planned debt reduction via asset sales improves balance sheet flexibility. The board's exploration of strategic alternatives including a potential sale provides takeout optionality — FMC's global regulatory registrations, manufacturing infrastructure, and new AI pipeline make it an attractive acquisition target for BASF, Syngenta, or private equity. At $17.15, the stock trades at a 70% discount to its 2022 peak near $57 [4].</w:t>
      </w:r>
    </w:p>
    <w:p>
      <w:pPr>
        <w:spacing w:after="120"/>
      </w:pPr>
      <w:r>
        <w:rPr>
          <w:rFonts w:ascii="Calibri" w:hAnsi="Calibri"/>
          <w:b w:val="0"/>
          <w:color w:val="3A4A28"/>
          <w:sz w:val="20"/>
        </w:rPr>
        <w:t>The bear case is formidable. FMC has destroyed enormous shareholder value — revenue declined 40% from $5.8B to $3.5B in three years, trailing losses of -$17.59 EPS dwarf the $17.15 stock price, and ROE of -66.6% reflects a business in crisis [4]. D/E of 200% creates financial fragility, and the 86% dividend cut (from $2.32 to $0.32) eliminated the income thesis that attracted many holders. The 2026 guidance of $3.6-$3.8B revenue is far below the 2023 Investor Day target of $5.5-$6.0B, suggesting management has lost credibility on forward projections [1]. Generic competition for Rynaxypyr will intensify, compressing margins on what remains FMC's largest product franchise. The restructuring requires $1B in asset sales/licensing that may not achieve fair value in a distressed context. A potential sale could occur at a price well below historical intrinsic value, locking in permanent capital destruction for long-term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review including potential sale — global regulatory registrations and new AI pipeline make FMC an attractive acquisition target at depressed valuations [1]</w:t>
      </w:r>
    </w:p>
    <w:p>
      <w:pPr>
        <w:spacing w:before="40" w:after="40"/>
        <w:ind w:left="283"/>
      </w:pPr>
      <w:r>
        <w:rPr>
          <w:rFonts w:ascii="Calibri" w:hAnsi="Calibri"/>
          <w:b/>
          <w:color w:val="4A6B25"/>
          <w:sz w:val="20"/>
        </w:rPr>
        <w:t xml:space="preserve">2. </w:t>
      </w:r>
      <w:r>
        <w:rPr>
          <w:rFonts w:ascii="Calibri" w:hAnsi="Calibri"/>
          <w:b w:val="0"/>
          <w:color w:val="3A4A28"/>
          <w:sz w:val="20"/>
        </w:rPr>
        <w:t>New active ingredient sales expected to grow 75%+ to $300-$400M in 2026, with Fluindapyr, Isoflex, and Dodhylex providing revenue diversification [1]</w:t>
      </w:r>
    </w:p>
    <w:p>
      <w:pPr>
        <w:spacing w:before="40" w:after="40"/>
        <w:ind w:left="283"/>
      </w:pPr>
      <w:r>
        <w:rPr>
          <w:rFonts w:ascii="Calibri" w:hAnsi="Calibri"/>
          <w:b/>
          <w:color w:val="4A6B25"/>
          <w:sz w:val="20"/>
        </w:rPr>
        <w:t xml:space="preserve">3. </w:t>
      </w:r>
      <w:r>
        <w:rPr>
          <w:rFonts w:ascii="Calibri" w:hAnsi="Calibri"/>
          <w:b w:val="0"/>
          <w:color w:val="3A4A28"/>
          <w:sz w:val="20"/>
        </w:rPr>
        <w:t>Planned $1B debt reduction via asset sales/licensing in 2026, improving balance sheet flexibility and reducing interest expense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erosion from Rynaxypyr generic competition — post-patent pricing pressure expected to cause mid-single-digit price declines in 2026 [1]</w:t>
      </w:r>
    </w:p>
    <w:p>
      <w:pPr>
        <w:spacing w:before="40" w:after="40"/>
        <w:ind w:left="283"/>
      </w:pPr>
      <w:r>
        <w:rPr>
          <w:rFonts w:ascii="Calibri" w:hAnsi="Calibri"/>
          <w:b/>
          <w:color w:val="4A6B25"/>
          <w:sz w:val="20"/>
        </w:rPr>
        <w:t xml:space="preserve">2. </w:t>
      </w:r>
      <w:r>
        <w:rPr>
          <w:rFonts w:ascii="Calibri" w:hAnsi="Calibri"/>
          <w:b w:val="0"/>
          <w:color w:val="3A4A28"/>
          <w:sz w:val="20"/>
        </w:rPr>
        <w:t>D/E of 200% and trailing losses of -$17.59 EPS create solvency risk if turnaround execution falters or asset sales underperform [4]</w:t>
      </w:r>
    </w:p>
    <w:p>
      <w:pPr>
        <w:spacing w:before="40" w:after="40"/>
        <w:ind w:left="283"/>
      </w:pPr>
      <w:r>
        <w:rPr>
          <w:rFonts w:ascii="Calibri" w:hAnsi="Calibri"/>
          <w:b/>
          <w:color w:val="4A6B25"/>
          <w:sz w:val="20"/>
        </w:rPr>
        <w:t xml:space="preserve">3. </w:t>
      </w:r>
      <w:r>
        <w:rPr>
          <w:rFonts w:ascii="Calibri" w:hAnsi="Calibri"/>
          <w:b w:val="0"/>
          <w:color w:val="3A4A28"/>
          <w:sz w:val="20"/>
        </w:rPr>
        <w:t>Management credibility deficit — 2026 guidance of $3.6-$3.8B is 35% below the 2023 Investor Day target of $5.5-$6.0B, raising questions about forward projection reliability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FMC operates in crop protection — a physical-world business requiring chemical manufacturing, regulatory registrations across 100+ countries, and biological/agronomic field testing that AI cannot replace [2]. Agricultural chemical formulation, application, and safety testing are governed by extensive regulatory frameworks (EPA, EU authorities) creating structural barriers to AI disruption. AI tools may enhance precision agriculture and R&amp;D efficiency, but they cannot substitute for the active ingredients, manufacturing processes, and distribution networks that constitute FMC's core business. AI Opportunity (0/1): No AI-related revenue identified; FMC uses data analytics in R&amp;D optimization but does not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FMC Corporation 2026 Priorities and Strategic Options Announcement — $3.6-$3.8B revenue guidance, $670-$730M EBITDA, potential sale exploration, 2026</w:t>
      </w:r>
    </w:p>
    <w:p>
      <w:pPr>
        <w:spacing w:before="20" w:after="20"/>
        <w:ind w:left="170"/>
      </w:pPr>
      <w:r>
        <w:rPr>
          <w:rFonts w:ascii="Calibri" w:hAnsi="Calibri"/>
          <w:b/>
          <w:color w:val="4A6B25"/>
          <w:sz w:val="15"/>
        </w:rPr>
        <w:t xml:space="preserve">2. </w:t>
      </w:r>
      <w:r>
        <w:rPr>
          <w:rFonts w:ascii="Calibri" w:hAnsi="Calibri"/>
          <w:b w:val="0"/>
          <w:color w:val="3A4A28"/>
          <w:sz w:val="17"/>
        </w:rPr>
        <w:t>FMC Corporation Leadership Changes — CEO Brondeau return, President Pereira departure, CTO Rostovtsev appointment, transformation initiatives, 2024-2025</w:t>
      </w:r>
    </w:p>
    <w:p>
      <w:pPr>
        <w:spacing w:before="20" w:after="20"/>
        <w:ind w:left="170"/>
      </w:pPr>
      <w:r>
        <w:rPr>
          <w:rFonts w:ascii="Calibri" w:hAnsi="Calibri"/>
          <w:b/>
          <w:color w:val="4A6B25"/>
          <w:sz w:val="15"/>
        </w:rPr>
        <w:t xml:space="preserve">3. </w:t>
      </w:r>
      <w:r>
        <w:rPr>
          <w:rFonts w:ascii="Calibri" w:hAnsi="Calibri"/>
          <w:b w:val="0"/>
          <w:color w:val="3A4A28"/>
          <w:sz w:val="17"/>
        </w:rPr>
        <w:t>FMC Corporation Sustainability and ESG — Newsweek Most Responsible Companies, SBTi net-zero goals, Responsible Care program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FMC (FMC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