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FNB</w:t>
      </w:r>
      <w:r>
        <w:rPr>
          <w:rFonts w:ascii="Calibri" w:hAnsi="Calibri"/>
          <w:b/>
          <w:color w:val="1A2010"/>
          <w:sz w:val="40"/>
        </w:rPr>
        <w:t xml:space="preserve">  F.N.B. Corporation</w:t>
      </w:r>
    </w:p>
    <w:p>
      <w:pPr>
        <w:spacing w:after="120"/>
      </w:pPr>
      <w:r>
        <w:rPr>
          <w:rFonts w:ascii="Calibri" w:hAnsi="Calibri"/>
          <w:b/>
          <w:color w:val="6E8450"/>
          <w:sz w:val="18"/>
        </w:rPr>
        <w:t>DIVIDEND SLEEVE · 2026-03-28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F.N.B. Corporation is a diversified financial services company operating through Community Banking, Wealth Management, and Insurance segments across eight states plus Washington, D.C. Founded in 1864 and headquartered in Pittsburgh, PA, FNB has total assets above $50 billion and serves consumers, corporations, governments, and small- to medium-sized businesses.</w:t>
      </w:r>
    </w:p>
    <w:p>
      <w:r>
        <w:rPr>
          <w:rFonts w:ascii="Calibri" w:hAnsi="Calibri"/>
          <w:b/>
          <w:color w:val="6E8450"/>
          <w:sz w:val="18"/>
        </w:rPr>
        <w:t>4,128 Employees · https://www.fnb-online.com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FNB has steadily evolved from a rural bank into a $50B+ digital-forward institution under CEO Delie, but this transformation has been incremental over a decade rather than a dramatic pivot. Full-year 2025 revenue reached $1.8B with record results across seven fee-based businesses [1]. AI Deployment (1/2): The proprietary eStore platform leverages AI and analytics for onboarding and relationship deepening, driving a 300% increase in online applications (Q4 2025 vs Q4 2024) and 66% increase in online logins [2]. However, specific AI-driven cost savings or revenue figures have not been quantified. Market Share (1/2): FNB is a meaningful regional player with a de novo expansion into high-growth Southeast and Mid-Atlantic markets (30 new branches by 2030) and the exclusive Penn State banking partnership covering 90,000 students and 36,000 employees [1]. Pipeline (1/2): Branch expansion plan, Penn State partnership launching summer 2026, and continued digital platform buildout provide visibility, though specific next-gen product timelines are limited [1]. R&amp;D Intensity (0/1): Technology investment is notable for a regional bank but not quantified as a percentage of revenue; FNB does not disclose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FNB's mission centers on community banking and serving the financial needs of consumers and businesses across its footprint. The purpose is clear and identifies who FNB serves, but is not deeply distinctive or transformative — it reads as a well-executed version of standard community banking purpose. Community Impact (1/2): FNB holds an Outstanding CRA rating and has a dedicated Director of Corporate Responsibility overseeing community reinvestment, corporate giving, and diversity initiatives [3]. Named one of six national standout banks for ESG commitment by Coalition Greenwich in 2023. Employee Retention (2/2): FNB has received Culture Excellence Awards for four consecutive years based entirely on employee feedback, recognized in Leadership, Innovation, Purpose &amp; Values, and Work-Life Flexibility categories [2]. Named one of Newsweek's America's Most Admired Workplaces for 2025. CEO Delie has earned 80+ workplace and cultural excellence awards. Insider Buying (0/2): Insider activity shows only stock award grants with no meaningful open-market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FNB's financial profile shows strong revenue momentum with 26.4% YoY growth and a profit margin of 33.7%, both exceeding targets [1]. Forward P/E of 8.3x is deeply discounted, and the payout ratio of 30.8% is conservative. The main weaknesses are ROE of 8.65%, below the 15% target for banks of this size, and a flat dividend — $0.48/share annually for seven consecutive years with 0% growth CAGR [4]. Consecutive years paid (~40) is a strength, but the lack of any dividend growth since 2019 heavily penalizes the dividend metrics. D/E is unavailable (typical for bank holding companies). Liquidity floor easily cleared: 6.9M avg volume × $16.18 = $111M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FNB under CEO Delie plays a largely infinite game for a regional bank — the decade-long digital transformation, community banking focus, and consistent culture investment reflect a company built to endure. However, the flat dividend for seven years despite record earnings raises finite-game questions about capital return priorities, and the competitive framing remains focused on market expansion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FNB's purpose of serving communities through accessible banking has been validated by a decade of consistent execution under Delie — transforming from a struggling rural bank into a $50B+ digital-forward institution while maintaining community roots [2]. The Penn State partnership and de novo branch expansion into underserved markets demonstrate the cause is lived out in strategic decisions, not just marketing. However, the cause lacks the transformative aspiration that Sinek requires for a perfect score [1].</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FNB has received Culture Excellence Awards for four consecutive years based entirely on employee feedback, with specific recognition in Leadership, Purpose &amp; Values, and Work-Life Flexibility [2]. Named one of Newsweek's America's Most Admired Workplaces 2025, and CEO Delie has accumulated 80+ workplace awards. Delie's 'blue-collar work ethic' leadership philosophy emphasizes empowerment and grit. This is exceptional evidence of a high-trust organization where employees feel valued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FNB's competitive language focuses on market expansion and growth — opening 30 new branches, winning the Penn State contract, expanding into Southeast markets [1]. There is no evidence of management referencing competitors' strengths as motivation to improve, or framing competition as a learning opportunity. The mindset is growth-oriented but finite in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Delie, FNB has evolved from a traditional community bank to a technology-driven institution with AI, eStore, and digital-first capabilities — what The CEO Magazine described as a 'struggling rural bank turned digital force' [2]. The Clicks-to-Bricks strategy represents meaningful adaptation. However, the core business model remains community banking; the transformation is evolutionary, not transformative in the Sinek sense of abandoning a profitable legacy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Delie invested heavily in digital transformation and AI when most regional bank peers were not, a long-term bet that is now paying off with record results [1][2]. The $5B capex commitment and de novo branch expansion during an uncertain rate environment shows willingness to invest for the future. However, the flat dividend for seven consecutive years despite record 2025 earnings ($1.56 EPS vs $0.48 dividend) suggests capital allocation conservatism rather than courageous reinvestment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F.N.B. Corporation delivered record 2025 results — $565.4M net income ($1.56 EPS), $1.8B total revenue, and seven fee-based businesses at all-time highs — beating Q4 estimates with $0.47 EPS vs $0.38 consensus [1]. At 8.3x forward P/E with 2026 EPS guidance of $1.65-$1.75, FNB trades at a meaningful discount to regional bank peers. The eStore digital platform is driving transformative growth (300% increase in online applications), the Penn State exclusive banking partnership adds a sticky customer pipeline, and the 30-branch Southeast expansion targets high-growth markets [1][2]. CEO Delie's leadership has been nationally recognized (Top 50 U.S. CEOs by Brand Finance), and the culture is validated by four consecutive years of employee-feedback-based awards [2]. NII growth of 8%+ through 2027 and a 30.8% payout ratio provide room for dividend increases.</w:t>
      </w:r>
    </w:p>
    <w:p>
      <w:pPr>
        <w:spacing w:after="120"/>
      </w:pPr>
      <w:r>
        <w:rPr>
          <w:rFonts w:ascii="Calibri" w:hAnsi="Calibri"/>
          <w:b w:val="0"/>
          <w:color w:val="3A4A28"/>
          <w:sz w:val="20"/>
        </w:rPr>
        <w:t>The bear case centers on dividend stagnation, modest ROE, and regional bank risks. FNB has paid a flat $0.48 annual dividend for seven consecutive years despite 55.8% EPS growth in 2025, failing to reward shareholders with income growth [4]. ROE of 8.65% is well below the 15% target and suggests the bank is not efficiently deploying its excess capital — Seeking Alpha notes FNB has 'significant excess capital' that has not been returned to shareholders. The stock has declined from $18.18 to $16.18 despite record earnings, suggesting the market is skeptical of the growth narrative. Regional banking faces structural headwinds from fintech competition, potential CRE exposure, and interest rate sensitivity. TipRanks flagged growing AI operational and regulatory risks as FNB becomes more dependent on AI-driven systems [2]. The de novo branch expansion requires significant upfront capital with uncertain ROI in an increasingly digital banking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Penn State exclusive banking partnership launching summer 2026, providing access to 90,000 students and 36,000 employees as a sticky customer acquisition channel [1]</w:t>
      </w:r>
    </w:p>
    <w:p>
      <w:pPr>
        <w:spacing w:before="40" w:after="40"/>
        <w:ind w:left="283"/>
      </w:pPr>
      <w:r>
        <w:rPr>
          <w:rFonts w:ascii="Calibri" w:hAnsi="Calibri"/>
          <w:b/>
          <w:color w:val="4A6B25"/>
          <w:sz w:val="20"/>
        </w:rPr>
        <w:t xml:space="preserve">2. </w:t>
      </w:r>
      <w:r>
        <w:rPr>
          <w:rFonts w:ascii="Calibri" w:hAnsi="Calibri"/>
          <w:b w:val="0"/>
          <w:color w:val="3A4A28"/>
          <w:sz w:val="20"/>
        </w:rPr>
        <w:t>2026 EPS guidance of $1.65-$1.75 represents 6-12% growth with NII expected to grow 8%+, supported by continued eStore digital adoption [1]</w:t>
      </w:r>
    </w:p>
    <w:p>
      <w:pPr>
        <w:spacing w:before="40" w:after="40"/>
        <w:ind w:left="283"/>
      </w:pPr>
      <w:r>
        <w:rPr>
          <w:rFonts w:ascii="Calibri" w:hAnsi="Calibri"/>
          <w:b/>
          <w:color w:val="4A6B25"/>
          <w:sz w:val="20"/>
        </w:rPr>
        <w:t xml:space="preserve">3. </w:t>
      </w:r>
      <w:r>
        <w:rPr>
          <w:rFonts w:ascii="Calibri" w:hAnsi="Calibri"/>
          <w:b w:val="0"/>
          <w:color w:val="3A4A28"/>
          <w:sz w:val="20"/>
        </w:rPr>
        <w:t>De novo branch expansion into high-growth Southeast and Mid-Atlantic markets (30 branches by 2030) diversifies geographic concentration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 $0.48 annual dividend for seven consecutive years despite record earnings signals poor capital return discipline and may limit income-oriented investor interest [4]</w:t>
      </w:r>
    </w:p>
    <w:p>
      <w:pPr>
        <w:spacing w:before="40" w:after="40"/>
        <w:ind w:left="283"/>
      </w:pPr>
      <w:r>
        <w:rPr>
          <w:rFonts w:ascii="Calibri" w:hAnsi="Calibri"/>
          <w:b/>
          <w:color w:val="4A6B25"/>
          <w:sz w:val="20"/>
        </w:rPr>
        <w:t xml:space="preserve">2. </w:t>
      </w:r>
      <w:r>
        <w:rPr>
          <w:rFonts w:ascii="Calibri" w:hAnsi="Calibri"/>
          <w:b w:val="0"/>
          <w:color w:val="3A4A28"/>
          <w:sz w:val="20"/>
        </w:rPr>
        <w:t>ROE of 8.65% significantly trails the 15% peer target, suggesting inefficient capital deployment despite excess capital position [4]</w:t>
      </w:r>
    </w:p>
    <w:p>
      <w:pPr>
        <w:spacing w:before="40" w:after="40"/>
        <w:ind w:left="283"/>
      </w:pPr>
      <w:r>
        <w:rPr>
          <w:rFonts w:ascii="Calibri" w:hAnsi="Calibri"/>
          <w:b/>
          <w:color w:val="4A6B25"/>
          <w:sz w:val="20"/>
        </w:rPr>
        <w:t xml:space="preserve">3. </w:t>
      </w:r>
      <w:r>
        <w:rPr>
          <w:rFonts w:ascii="Calibri" w:hAnsi="Calibri"/>
          <w:b w:val="0"/>
          <w:color w:val="3A4A28"/>
          <w:sz w:val="20"/>
        </w:rPr>
        <w:t>Growing AI operational dependency flagged by TipRanks — regulatory, cybersecurity, and reputational risks increase as FNB integrates AI across lending, onboarding, and risk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structurally protected from AI disruption — regulatory requirements (CRA, KYC, BSA/AML), relationship-based commercial lending, and the physical branch network create moats that AI cannot easily replicate. FNB's Clicks-to-Bricks strategy uses AI to drive customers into branches rather than replace them [2]. Banking remains deeply regulated, and AI tools augment rather than substitute the core advisory and lending functions. TipRanks flagged growing AI operational and regulatory risks in FNB's 2026 proxy, but these are integration risks, not substitution threats [2]. AI Opportunity (1/1): FNB generates measurable business results from AI — the eStore platform drove a 300% increase in online applications and 66% increase in logins, and seven fee-based businesses hit all-time highs in 2025 partly attributable to AI-driven analytics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F.N.B. Corporation Q4 and Full-Year 2025 Earnings Release — $565.4M net income, $1.56 EPS, $1.8B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PR Newswire, The CEO Magazine, Retail Dive — FNB CEO accolades, Culture Excellence Awards, eStore AI platform, digital transformation, 2024-2026</w:t>
      </w:r>
    </w:p>
    <w:p>
      <w:pPr>
        <w:spacing w:before="20" w:after="20"/>
        <w:ind w:left="170"/>
      </w:pPr>
      <w:r>
        <w:rPr>
          <w:rFonts w:ascii="Calibri" w:hAnsi="Calibri"/>
          <w:b/>
          <w:color w:val="4A6B25"/>
          <w:sz w:val="15"/>
        </w:rPr>
        <w:t xml:space="preserve">3. </w:t>
      </w:r>
      <w:r>
        <w:rPr>
          <w:rFonts w:ascii="Calibri" w:hAnsi="Calibri"/>
          <w:b w:val="0"/>
          <w:color w:val="3A4A28"/>
          <w:sz w:val="17"/>
        </w:rPr>
        <w:t>Coalition Greenwich, ESG News — FNB ESG recognition, Outstanding CRA rating, Corporate Responsibility Report,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FNB (F.N.B. Corporation),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