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FOLD</w:t>
      </w:r>
      <w:r>
        <w:rPr>
          <w:rFonts w:ascii="Calibri" w:hAnsi="Calibri"/>
          <w:b/>
          <w:color w:val="1A2010"/>
          <w:sz w:val="40"/>
        </w:rPr>
        <w:t xml:space="preserve">  Amicus Therapeutics, Inc.</w:t>
      </w:r>
    </w:p>
    <w:p>
      <w:pPr>
        <w:spacing w:after="120"/>
      </w:pPr>
      <w:r>
        <w:rPr>
          <w:rFonts w:ascii="Calibri" w:hAnsi="Calibri"/>
          <w:b/>
          <w:color w:val="6E8450"/>
          <w:sz w:val="18"/>
        </w:rPr>
        <w:t>GROWTH SLEEVE · 2026-03-28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Amicus Therapeutics is a patient-dedicated biotechnology company focused on discovering, developing, and delivering novel medicines for rare diseases. Key products include Galafold for Fabry disease and Pombiliti + Opfolda for late-onset Pompe disease. The company is being acquired by BioMarin Pharmaceutical for $14.50 per share in a transaction expected to close Q2 2026.</w:t>
      </w:r>
    </w:p>
    <w:p>
      <w:r>
        <w:rPr>
          <w:rFonts w:ascii="Calibri" w:hAnsi="Calibri"/>
          <w:b/>
          <w:color w:val="6E8450"/>
          <w:sz w:val="18"/>
        </w:rPr>
        <w:t>511 Employees · https://amicusrx.com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Amicus successfully launched Pombiliti + Opfolda for Pompe disease, which grew 42% at CER in Q3 2025 and 63% in Q2 2025, creating a meaningful second revenue stream alongside Galafold [1]. Full-year 2025 revenue of $634.2M grew 17% at CER, demonstrating commercial execution in rare disease [1]. AI Deployment (1/2): Amicus uses AI to research biomarkers and diseases, speed up treatment processes, and scan millions of medical records for rare disease identification; the company has an active AI literacy program with a Champions initiative [2]. Market Share (1/2): Galafold holds a meaningful position in amenable Fabry disease treatment, and Pombiliti + Opfolda is the only approved chaperone-based therapy for Pompe disease, but the rare disease market is niche with competition from Sanofi's established enzyme replacement therapies [1][2]. Pipeline (1/2): DMX-200 (acquired from Dimerix) is in Phase 3 for FSGS kidney disease, expanding beyond lysosomal storage disorders, but the pipeline is narrow for a company of this maturity [2]. R&amp;D Intensity (1/1): R&amp;D spending is significant relative to the company's $634M revenue base, consistent with biotech peers focused on rare disease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Amicus was founded when the founder's two children were diagnosed with rare diseases, creating a deeply authentic patient-first mission that permeates the culture. CEO Bradley Campbell articulates complex values that drive the organization, and the company's mission to transform lives of those with devastating rare conditions is specific, genuine, and rooted in personal sacrifice [2]. Community Impact (2/2): Amicus maintains patient access programs ensuring broad and equitable access to innovative therapies globally, particularly important in rare diseases where patient populations are small and underserved. The company's ESG report highlights community engagement and patient advocacy partnerships [3]. Employee Retention (1/2): Glassdoor rating of 3.8/5 is solid, with employees citing the patient-focused culture as 'amazing.' Amicus was certified as a Great Place To Work in 2024. However, some reviews note poor leadership communication and frequent layoffs of lower-level employees [2]. Insider Buying (1/2): Billionaire biotech investor Joseph Edelman holds FOLD as a long-term position, providing institutional conviction, but limited data on direct insider purchasing by management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Amicus is transitioning from loss-making to profitability with strong revenue momentum. Revenue of $634.2M grew 23.7% YoY with Q4 at $185.2M up 24% [1]. Forward P/E of 15.7x is attractive for a high-growth biotech (score 1.0) [4]. Revenue growth of 23.7% YoY significantly exceeds the 10% target (score 1.0), and 3-year revenue CAGR of ~24.4% is exceptional (score 1.0) [4]. However, the company remains near breakeven with negative profit margin of -4.3% (score 0.0) and negative ROE of -11.6% (score 0.0), reflecting the biotech's still-maturing commercial profile [4]. D/E of 161.3% reflects convertible debt financing typical for growth-stage biotechs (score 0.60) [4]. Liquidity floor cleared: 7.0M avg volume x $14.41 = $100.4M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Amicus Therapeutics was born from a deeply personal Just Cause — a founder's mission to save children with rare diseases. This origin story creates authentic purpose that drives the organization. However, the pending BioMarin acquisition for $14.50/share represents a finite outcome — the company is being absorbed rather than continuing independently. The patient-first culture is genuine but organizational challenges (layoffs, communication gaps) create tension.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company's founding story — a father's mission to transform treatment for rare diseases after his children were diagnosed — is a genuine, specific, and deeply personal Just Cause. The mission to 'transform the lives of those living with devastating conditions' is inclusive, service-oriented, and idealistic in Sinek's framework [2]. However, the pending BioMarin acquisition suggests the cause will be pursued under different leadership, and it hasn't been tested through decades of independent operation.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3.8/5 and Great Place To Work certification in 2024 indicate adequate organizational trust. Employees cite the patient-focused culture as motivating and the CEO as approachable [2]. However, reviews also describe 'reactive, disorganized management,' layoffs of lower-level employees while protecting senior staff, and a culture described as 'conservative and reluctant to change' despite asking for innovation — signals of uneven trust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found of Amicus acknowledging competitors' strengths or using competitive dynamics for self-improvement. The rare disease space is small enough that competition is primarily about clinical efficacy and regulatory approval rather than market share battles, but the company's competitive framing appears focused on differentiation rather than learning from rivals like Sanofi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Amicus evolved from a single-product Fabry disease company to a multi-product rare disease platform with the Pombiliti + Opfolda launch for Pompe disease, and expanded into FSGS kidney disease with the DMX-200 acquisition from Dimerix [1][2]. These represent meaningful but incremental pipeline expansions rather than transformative reinvention. The BioMarin acquisition itself could be viewed as accepting that the company's cause is better served within a larger rare disease platform.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Amicus invested heavily in Pombiliti + Opfolda development through years of losses, demonstrating willingness to sacrifice near-term profitability for long-term rare disease impact [1]. The company continued R&amp;D investment despite operating losses exceeding $27M in 2025. However, agreeing to the BioMarin acquisition at $14.50/share — below the stock's 2024 highs — could be seen as choosing financial certainty over independent long-term mission pursuit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Amicus Therapeutics is a rare disease biotech delivering accelerating revenue growth — full-year 2025 revenue of $634.2M grew 17% at CER with Pombiliti + Opfolda surging 42% and Galafold contributing $521.7M (14% growth) [1]. The company is approaching profitability with Q4 2025 net income of $1.7M and forward P/E of 15.7x, attractively valued for a biotech with 24% revenue growth and a patient-dedicated mission rooted in the founder's personal experience [1][2]. The BioMarin acquisition at $14.50/share provides a near-term floor, and the DMX-200 pipeline expansion into FSGS kidney disease broadens the therapeutic platform. At current prices near the acquisition offer, downside is limited while the rare disease portfolio continues to grow.</w:t>
      </w:r>
    </w:p>
    <w:p>
      <w:pPr>
        <w:spacing w:after="120"/>
      </w:pPr>
      <w:r>
        <w:rPr>
          <w:rFonts w:ascii="Calibri" w:hAnsi="Calibri"/>
          <w:b w:val="0"/>
          <w:color w:val="3A4A28"/>
          <w:sz w:val="20"/>
        </w:rPr>
        <w:t>The bear case is dominated by acquisition dynamics and fundamental growth sustainability. The pending BioMarin acquisition at $14.50/share caps upside — investors are effectively buying a merger arbitrage spread rather than a growth story, with closing expected Q2 2026 subject to regulatory approval [1]. If the deal breaks, the stock faces significant downside given negative ROE (-11.6%), negative profit margin (-4.3%), and D/E of 161.3% [4]. The company reported a full-year 2025 loss of $27.1M despite $634M revenue, highlighting that profitability remains elusive even at scale. Product concentration risk is acute — Galafold and Pombiliti + Opfolda account for virtually all revenue, serving ultra-rare patient populations where market size is inherently limited. AI-driven drug discovery competitors could develop next-generation rare disease therapies that challenge Amicus's current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BioMarin acquisition closing expected Q2 2026 at $14.50/share, providing near-term value realization for shareholders [1]</w:t>
      </w:r>
    </w:p>
    <w:p>
      <w:pPr>
        <w:spacing w:before="40" w:after="40"/>
        <w:ind w:left="283"/>
      </w:pPr>
      <w:r>
        <w:rPr>
          <w:rFonts w:ascii="Calibri" w:hAnsi="Calibri"/>
          <w:b/>
          <w:color w:val="4A6B25"/>
          <w:sz w:val="20"/>
        </w:rPr>
        <w:t xml:space="preserve">2. </w:t>
      </w:r>
      <w:r>
        <w:rPr>
          <w:rFonts w:ascii="Calibri" w:hAnsi="Calibri"/>
          <w:b w:val="0"/>
          <w:color w:val="3A4A28"/>
          <w:sz w:val="20"/>
        </w:rPr>
        <w:t>Pombiliti + Opfolda revenue acceleration — 42% growth at CER in Q3 2025 with continued global launch driving Pompe disease market expansion [1]</w:t>
      </w:r>
    </w:p>
    <w:p>
      <w:pPr>
        <w:spacing w:before="40" w:after="40"/>
        <w:ind w:left="283"/>
      </w:pPr>
      <w:r>
        <w:rPr>
          <w:rFonts w:ascii="Calibri" w:hAnsi="Calibri"/>
          <w:b/>
          <w:color w:val="4A6B25"/>
          <w:sz w:val="20"/>
        </w:rPr>
        <w:t xml:space="preserve">3. </w:t>
      </w:r>
      <w:r>
        <w:rPr>
          <w:rFonts w:ascii="Calibri" w:hAnsi="Calibri"/>
          <w:b w:val="0"/>
          <w:color w:val="3A4A28"/>
          <w:sz w:val="20"/>
        </w:rPr>
        <w:t>DMX-200 Phase 3 results for FSGS kidney disease could validate pipeline diversification beyond lysosomal storage disorders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BioMarin acquisition regulatory or shareholder approval failure would remove the $14.50/share floor, exposing downside given ongoing operating losses and high leverage [1]</w:t>
      </w:r>
    </w:p>
    <w:p>
      <w:pPr>
        <w:spacing w:before="40" w:after="40"/>
        <w:ind w:left="283"/>
      </w:pPr>
      <w:r>
        <w:rPr>
          <w:rFonts w:ascii="Calibri" w:hAnsi="Calibri"/>
          <w:b/>
          <w:color w:val="4A6B25"/>
          <w:sz w:val="20"/>
        </w:rPr>
        <w:t xml:space="preserve">2. </w:t>
      </w:r>
      <w:r>
        <w:rPr>
          <w:rFonts w:ascii="Calibri" w:hAnsi="Calibri"/>
          <w:b w:val="0"/>
          <w:color w:val="3A4A28"/>
          <w:sz w:val="20"/>
        </w:rPr>
        <w:t>Product concentration in Galafold (82% of 2025 revenue) creates acute dependency on a single rare disease therapy with limited addressable patient population [1]</w:t>
      </w:r>
    </w:p>
    <w:p>
      <w:pPr>
        <w:spacing w:before="40" w:after="40"/>
        <w:ind w:left="283"/>
      </w:pPr>
      <w:r>
        <w:rPr>
          <w:rFonts w:ascii="Calibri" w:hAnsi="Calibri"/>
          <w:b/>
          <w:color w:val="4A6B25"/>
          <w:sz w:val="20"/>
        </w:rPr>
        <w:t xml:space="preserve">3. </w:t>
      </w:r>
      <w:r>
        <w:rPr>
          <w:rFonts w:ascii="Calibri" w:hAnsi="Calibri"/>
          <w:b w:val="0"/>
          <w:color w:val="3A4A28"/>
          <w:sz w:val="20"/>
        </w:rPr>
        <w:t>Persistent negative profitability — full-year 2025 loss of $27.1M despite $634M revenue — raises questions about the business model's ability to generate sustainable earnings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Rare disease therapeutics is inherently protected from AI disruption — drug development, manufacturing, regulatory approval, and patient treatment require deep biological expertise, clinical trials, and physical molecule production that AI cannot substitute [2]. Amicus's products (Galafold, Pombiliti + Opfolda) are FDA-approved therapies for ultra-rare conditions with small patient populations, making them economically unattractive targets for AI-driven generic competition. However, AI-powered drug discovery platforms (e.g., Recursion, Insilico) could accelerate competitor development of next-generation rare disease treatments, creating modest long-term pipeline risk. AI Opportunity (1/1): Amicus actively deploys AI to scan medical records for rare disease patient identification, research biomarkers, and accelerate treatment development processes, with a formal AI Champions program driving organizational adoption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Amicus Therapeutics Full-Year 2025 Financial Results and Corporate Updates, GlobeNewsWire, February 20, 2026</w:t>
      </w:r>
    </w:p>
    <w:p>
      <w:pPr>
        <w:spacing w:before="20" w:after="20"/>
        <w:ind w:left="170"/>
      </w:pPr>
      <w:r>
        <w:rPr>
          <w:rFonts w:ascii="Calibri" w:hAnsi="Calibri"/>
          <w:b/>
          <w:color w:val="4A6B25"/>
          <w:sz w:val="15"/>
        </w:rPr>
        <w:t xml:space="preserve">2. </w:t>
      </w:r>
      <w:r>
        <w:rPr>
          <w:rFonts w:ascii="Calibri" w:hAnsi="Calibri"/>
          <w:b w:val="0"/>
          <w:color w:val="3A4A28"/>
          <w:sz w:val="17"/>
        </w:rPr>
        <w:t>Amicus Therapeutics leadership profiles, Glassdoor reviews (3.8/5), AI innovation initiatives, Yahoo Finance analyst coverage, accessed March 2026</w:t>
      </w:r>
    </w:p>
    <w:p>
      <w:pPr>
        <w:spacing w:before="20" w:after="20"/>
        <w:ind w:left="170"/>
      </w:pPr>
      <w:r>
        <w:rPr>
          <w:rFonts w:ascii="Calibri" w:hAnsi="Calibri"/>
          <w:b/>
          <w:color w:val="4A6B25"/>
          <w:sz w:val="15"/>
        </w:rPr>
        <w:t xml:space="preserve">3. </w:t>
      </w:r>
      <w:r>
        <w:rPr>
          <w:rFonts w:ascii="Calibri" w:hAnsi="Calibri"/>
          <w:b w:val="0"/>
          <w:color w:val="3A4A28"/>
          <w:sz w:val="17"/>
        </w:rPr>
        <w:t>Amicus Therapeutics 2024 ESG Report, GlobeNewsWire, March 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FOLD (Amicus Therapeutics),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