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FORM</w:t>
      </w:r>
      <w:r>
        <w:rPr>
          <w:rFonts w:ascii="Calibri" w:hAnsi="Calibri"/>
          <w:b/>
          <w:color w:val="1A2010"/>
          <w:sz w:val="40"/>
        </w:rPr>
        <w:t xml:space="preserve">  FormFactor, Inc.</w:t>
      </w:r>
    </w:p>
    <w:p>
      <w:pPr>
        <w:spacing w:after="120"/>
      </w:pPr>
      <w:r>
        <w:rPr>
          <w:rFonts w:ascii="Calibri" w:hAnsi="Calibri"/>
          <w:b/>
          <w:color w:val="6E8450"/>
          <w:sz w:val="18"/>
        </w:rPr>
        <w:t>GROWTH SLEEVE · 2026-04-27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FormFactor designs, manufactures, and sells probe cards, analytical probes, probe stations, thermal systems, and cryogenic systems used in semiconductor testing and measurement. The company's products are critical for testing AI chips, HBM memory, advanced packaging, and next-generation semiconductor devices across foundry, logic, and DRAM markets globally.</w:t>
      </w:r>
    </w:p>
    <w:p>
      <w:r>
        <w:rPr>
          <w:rFonts w:ascii="Calibri" w:hAnsi="Calibri"/>
          <w:b/>
          <w:color w:val="6E8450"/>
          <w:sz w:val="18"/>
        </w:rPr>
        <w:t>2,153 Employees · https://www.formfactor.com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Record fiscal 2025 revenue of $785M driven by explosive growth in high bandwidth memory (HBM) probe card demand; Q4 2025 results beat expectations and triggered a 14.4% stock surge [1]. Revenue grew 13.6% YoY with earnings growing 131.8%, demonstrating operating leverage. AI/Digital Deployment (2/2): FormFactor is at the epicenter of AI semiconductor testing — its probe cards are essential for testing HBM chips used in NVIDIA, AMD, and custom AI accelerators; the company's solutions enable heterogeneous integration, chiplet architectures, and advanced packaging critical for AI chip performance [2]. Market Share (2/2): FormFactor is the global leader in probe cards with dominant share in DRAM testing and growing share in foundry/logic as AI chip complexity increases [1][2]. Pipeline (1/2): 2026 guidance raised with forecast EPS of $1.93, up 184% from $0.68 trailing; new Farmers Branch facility coming online late 2026 to expand capacity for AI-driven demand [1]. R&amp;D Intensity (1/1): Significant R&amp;D investment in advanced probe card technology, cryogenic systems for quantum computing, and co-packaged optical integrated circuit testing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FormFactor's mission centers on enabling semiconductor innovation through precision testing technology — essential but not broadly inspirational; the company provides critical infrastructure for the AI revolution without a transformative social mission [2]. Community Impact (1/2): Employs 2,153 workers globally with operations in the US, South Korea, Taiwan, and Europe; enables AI chip development that drives broader economic productivity. Employee Retention (1/2): Glassdoor rating of 3.5/5 with 98 reviews is mixed — employees note long hours, frequent layoffs, and criticism of executive leadership communication; some cite 'the absolute worst' executive leadership [2]. Insider Buying (1/2): CEO Mike Slessor has led since 2014 with 12+ year tenure and significant equity alignment; management team rated A- by Comparably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of $785M with 13.6% growth is solid, but trailing P/E of 228x is extreme and forward P/E of 69.5x remains expensive even accounting for 184% expected EPS growth; PEG of 1.39 is more reasonable given growth trajectory [1][4]. Profit margin of 6.9% and ROE of 5.5% are thin, reflecting that FormFactor is still scaling profitability despite record revenue [4]. D/E of 3.1% is excellent — near-zero debt with $275M cash and only $32M debt provides financial fortress balance sheet [4]. Gross margin of 39.2% and operating margin of 13.6% show room for expansion as HBM capacity utilization improves. Free cash flow is negative (-$32M) as the company invests in Farmers Branch facility expansion [4]. Liquidity floor cleared: 1.53M avg vol × $155.08 = $236.8M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FormFactor demonstrates mixed infinite game characteristics — the company's 30+ year history and technological leadership in probe cards show endurance, but the semiconductor equipment industry's cyclicality and employee concerns about leadership culture create tension between long-term vision and quarterly execution pressure.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FormFactor's purpose of enabling semiconductor innovation through precision testing is technically essential — every chip that powers AI, 5G, and automotive needs FormFactor's solutions [2]. However, this B2B infrastructure role lacks the aspirational quality of a transformative just cause. The company's investment in quantum computing testing through cryogenic systems shows forward-looking technological ambition.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3.5/5 with specific criticism of executive leadership communication and management style raises concerns [2]. Reports of frequent layoffs, long 12-hour days, and 'too many senior managers' suggest organizational friction. CEO Mike Slessor's 12-year tenure provides stability, but the disconnect between executive team ratings (A-) and employee ground-level feedback warrants attention.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FormFactor competes with Technoprobe (Italy), MPI Corporation (Taiwan), and Japan Electronic Materials in probe cards [1]. The company's dominant HBM testing position and investment in next-generation technologies (co-packaged optics, quantum) demonstrate competitive awareness. The 495% stock appreciation from 52-week lows validates FormFactor's technological differentiation versus rivals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FormFactor has evolved from traditional DRAM probe cards to become a critical AI infrastructure company, with HBM testing driving record revenue [1]. The expansion into cryogenic systems for quantum computing and co-packaged optical testing shows willingness to diversify. The Farmers Branch facility investment for late-2026 capacity demonstrates commitment to scaling with market demand.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in the Farmers Branch facility expansion while free cash flow is negative shows conviction in AI-driven demand sustainability [1][4]. Management's raised 2026 outlook signals confidence. However, semiconductor equipment is inherently cyclical, and FormFactor's history includes periods of significant revenue volatility that test leadership resolve during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FormFactor is the global leader in semiconductor probe cards riding the AI infrastructure buildout — record fiscal 2025 revenue of $785M was driven by explosive HBM demand, and analysts forecast 44.9% earnings growth in 2026 with EPS tripling from $0.68 to $1.93 [1][4]. Every AI chip — from NVIDIA GPUs to custom accelerators — requires FormFactor's testing solutions, making the company an essential picks-and-shovels play on the AI revolution. The near-zero debt balance sheet (D/E 3.1%) with $275M cash provides financial flexibility to invest in capacity expansion via the Farmers Branch facility [4]. At a PEG of 1.39, the growth-adjusted valuation is reasonable for a company with 184% expected EPS growth and dominant market position in the fastest-growing segment of semiconductor equipment [1].</w:t>
      </w:r>
    </w:p>
    <w:p>
      <w:pPr>
        <w:spacing w:after="120"/>
      </w:pPr>
      <w:r>
        <w:rPr>
          <w:rFonts w:ascii="Calibri" w:hAnsi="Calibri"/>
          <w:b w:val="0"/>
          <w:color w:val="3A4A28"/>
          <w:sz w:val="20"/>
        </w:rPr>
        <w:t>The bear case centers on extreme valuation, cyclicality, and execution risk. Trailing P/E of 228x and forward P/E of 69.5x require sustained exceptional growth — any demand shortfall in HBM or AI chip spending could trigger severe multiple compression [4]. The stock has surged 495% from its 52-week low of $26.08 to $155.08, pricing in significant future growth that may already be reflected [4]. Semiconductor equipment is notoriously cyclical; the current AI capex boom could soften if hyperscaler spending slows or memory pricing declines. Free cash flow is negative as the company invests in capacity, meaning shareholders receive no near-term cash returns [4]. Profit margin of 6.9% and ROE of 5.5% are thin for a company commanding $12B market cap, and Glassdoor employee concerns about leadership culture could impair talent retention in the competitive semiconductor labor market [2]. Customer concentration risk exists if major HBM producers (Samsung, SK Hynix, Micron) adjust ordering patterns.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HBM demand expansion with 44.9% forecast earnings growth in 2026 and raised management outlook following record Q4 2025 results [1]</w:t>
      </w:r>
    </w:p>
    <w:p>
      <w:pPr>
        <w:spacing w:before="40" w:after="40"/>
        <w:ind w:left="283"/>
      </w:pPr>
      <w:r>
        <w:rPr>
          <w:rFonts w:ascii="Calibri" w:hAnsi="Calibri"/>
          <w:b/>
          <w:color w:val="4A6B25"/>
          <w:sz w:val="20"/>
        </w:rPr>
        <w:t xml:space="preserve">2. </w:t>
      </w:r>
      <w:r>
        <w:rPr>
          <w:rFonts w:ascii="Calibri" w:hAnsi="Calibri"/>
          <w:b w:val="0"/>
          <w:color w:val="3A4A28"/>
          <w:sz w:val="20"/>
        </w:rPr>
        <w:t>Farmers Branch facility coming online late 2026 to expand capacity and improve gross margins through better utilization [1]</w:t>
      </w:r>
    </w:p>
    <w:p>
      <w:pPr>
        <w:spacing w:before="40" w:after="40"/>
        <w:ind w:left="283"/>
      </w:pPr>
      <w:r>
        <w:rPr>
          <w:rFonts w:ascii="Calibri" w:hAnsi="Calibri"/>
          <w:b/>
          <w:color w:val="4A6B25"/>
          <w:sz w:val="20"/>
        </w:rPr>
        <w:t xml:space="preserve">3. </w:t>
      </w:r>
      <w:r>
        <w:rPr>
          <w:rFonts w:ascii="Calibri" w:hAnsi="Calibri"/>
          <w:b w:val="0"/>
          <w:color w:val="3A4A28"/>
          <w:sz w:val="20"/>
        </w:rPr>
        <w:t>Expanding addressable market in advanced packaging, co-packaged optics, and quantum computing cryogenic systems beyond traditional probe cards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(228x trailing P/E, 69.5x forward P/E) requires sustained exceptional growth — any HBM demand softening could trigger severe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Semiconductor equipment cyclicality — AI capex boom could slow if hyperscaler spending decelerates or memory pricing weakens [1]</w:t>
      </w:r>
    </w:p>
    <w:p>
      <w:pPr>
        <w:spacing w:before="40" w:after="40"/>
        <w:ind w:left="283"/>
      </w:pPr>
      <w:r>
        <w:rPr>
          <w:rFonts w:ascii="Calibri" w:hAnsi="Calibri"/>
          <w:b/>
          <w:color w:val="4A6B25"/>
          <w:sz w:val="20"/>
        </w:rPr>
        <w:t xml:space="preserve">3. </w:t>
      </w:r>
      <w:r>
        <w:rPr>
          <w:rFonts w:ascii="Calibri" w:hAnsi="Calibri"/>
          <w:b w:val="0"/>
          <w:color w:val="3A4A28"/>
          <w:sz w:val="20"/>
        </w:rPr>
        <w:t>Negative free cash flow and thin 6.9% profit margin during a capacity expansion period create financial vulnerability if the growth trajectory disappoints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FormFactor is a primary beneficiary of AI — every AI chip (GPUs, HBM, custom accelerators) must be tested before deployment, and FormFactor's probe cards are the critical testing infrastructure [1][2]. The HBM demand explosion driven by NVIDIA's data center buildout directly translates to FormFactor revenue growth. As AI chips become more complex (chiplets, advanced packaging, co-packaged optics), testing requirements increase, deepening FormFactor's value in the supply chain. Semiconductor testing is a highly specialized, mission-critical function that AI cannot disrupt — it enables AI. AI Opportunity (1/1): Every new AI architecture, from transformers to quantum computing, requires FormFactor's testing solutions; the company's cryogenic systems position it for quantum computing testing as that market emerges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FormFactor Q4 2025 Results and Raised 2026 Outlook — Investor Relations press release; Yahoo Finance analysis; StocksToTrade analyst targets, April 2026</w:t>
      </w:r>
    </w:p>
    <w:p>
      <w:pPr>
        <w:spacing w:before="20" w:after="20"/>
        <w:ind w:left="170"/>
      </w:pPr>
      <w:r>
        <w:rPr>
          <w:rFonts w:ascii="Calibri" w:hAnsi="Calibri"/>
          <w:b/>
          <w:color w:val="4A6B25"/>
          <w:sz w:val="15"/>
        </w:rPr>
        <w:t xml:space="preserve">2. </w:t>
      </w:r>
      <w:r>
        <w:rPr>
          <w:rFonts w:ascii="Calibri" w:hAnsi="Calibri"/>
          <w:b w:val="0"/>
          <w:color w:val="3A4A28"/>
          <w:sz w:val="17"/>
        </w:rPr>
        <w:t>FormFactor Leadership, CEO Mike Slessor profile, Glassdoor Reviews (3.5/5, 98 reviews) — formfactor.com; Comparably; Glassdoor Livermore reviews</w:t>
      </w:r>
    </w:p>
    <w:p>
      <w:pPr>
        <w:spacing w:before="20" w:after="20"/>
        <w:ind w:left="170"/>
      </w:pPr>
      <w:r>
        <w:rPr>
          <w:rFonts w:ascii="Calibri" w:hAnsi="Calibri"/>
          <w:b/>
          <w:color w:val="4A6B25"/>
          <w:sz w:val="15"/>
        </w:rPr>
        <w:t xml:space="preserve">3. </w:t>
      </w:r>
      <w:r>
        <w:rPr>
          <w:rFonts w:ascii="Calibri" w:hAnsi="Calibri"/>
          <w:b w:val="0"/>
          <w:color w:val="3A4A28"/>
          <w:sz w:val="17"/>
        </w:rPr>
        <w:t>FormFactor Sustainability Profile — Morningstar ESG data</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FORM (FormFactor),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