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FOUR</w:t>
      </w:r>
      <w:r>
        <w:rPr>
          <w:rFonts w:ascii="Calibri" w:hAnsi="Calibri"/>
          <w:b/>
          <w:color w:val="1A2010"/>
          <w:sz w:val="40"/>
        </w:rPr>
        <w:t xml:space="preserve">  Shift4 Payments, Inc.</w:t>
      </w:r>
    </w:p>
    <w:p>
      <w:pPr>
        <w:spacing w:after="120"/>
      </w:pPr>
      <w:r>
        <w:rPr>
          <w:rFonts w:ascii="Calibri" w:hAnsi="Calibri"/>
          <w:b/>
          <w:color w:val="6E8450"/>
          <w:sz w:val="18"/>
        </w:rPr>
        <w:t>GROWTH SLEEVE · 2026-04-14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Shift4 Payments provides integrated payment processing, commerce, and point-of-sale solutions to hospitality, restaurant, retail, sports &amp; entertainment, gaming, and luxury retail verticals. Its platform processes over $200B in annual volume and expanded globally via the 2025 Global Blue acquisition.</w:t>
      </w:r>
    </w:p>
    <w:p>
      <w:r>
        <w:rPr>
          <w:rFonts w:ascii="Calibri" w:hAnsi="Calibri"/>
          <w:b/>
          <w:color w:val="6E8450"/>
          <w:sz w:val="18"/>
        </w:rPr>
        <w:t>3,500 Employees · https://www.shift4.com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Excellent innovation track record: transformative Global Blue acquisition in July 2025 extended reach into luxury retail and tax-free shopping (Global Blue is #1 market share with 4x lead over nearest competitor). [1] Revenue less network fees surged 46% to $1.98B in 2025, adjusted EBITDA up 43% to $970M. Shift4 is actively deploying AI and tokenization for 'smarter and more personalized payment experiences'. [2] Dominant vertical share in hospitality/restaurant point-of-sale; expanding to 75+ countries with 80k international merchants. Pipeline: all-in-one terminal launching across 15 countries in 2026. R&amp;D intensity above fintech average. Score: track record 3 + AI 1 + share 2 + pipeline 2 + R&amp;D 0 =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'empower partners and customers with a complete payment solution' is clear but not distinctive (2 points). [3] Shift4Cares gift-card program supported COVID-era hospitality merchants with 5% company contribution; won 2022 Golden Latin Award for Philanthropic Business of the Year (1 point community impact). No specific retention/tenure data. Jared Isaacman departure to Executive Chairman (nominated for NASA Administrator) is a neutral insider signal; Taylor Lauber's CEO transition brings 7-year company tenure. Score: 2 + 1 + 0 + 1 =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Strong growth masks heavy debt from Global Blue deal. [1] Revenue YoY +34%, ROE 9.9% (below 15% target), profit margin only 2.8% (well below 20% target), D/E 236% (elevated vs 70% target), Forward P/E 6.7 (excellent vs 20 target), trailing P/E 42. Non-GAAP 2026 EPS guided $5.50-5.70. Liquidity strong ($45.47 x 2.48M = $113M).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Founder-led culture (Isaacman era) built a durable payments platform; current CEO transition and heavy leverage keep this in mixed territory despite strong long-term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is credible but transactional - 'empower merchants with payment solutions'. Not elevated to a transformative cause.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Internal promotion of Taylor Lauber (7 years at Shift4) and promotion of international/payments chiefs indicate bench depth and continuity. [2]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Competitive commentary is share-take oriented vs. Toast, Block, Stripe; no evidence of learning-oriented framing. 0 points.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Shift4 has repeatedly reinvented itself: from a restaurant-focused POS processor, to integrated payments via Lighthouse, to stadium/sports/entertainment, to international luxury retail via Global Blue. [1] Each pivot expanded TAM materially. 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$2B+ Global Blue acquisition in 2025 committed significant balance sheet capacity to international expansion ahead of clear earnings contribution - a long-term capability bet. [1] Lauber's stated philosophy: 'If we stand still, we will not survive' reflects infinite-game mindset. [2]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Shift4 Payments is one of the fastest-growing payment processors in the US, now going global through the transformative 2025 Global Blue acquisition. 2025 revenue less network fees grew 46% to $1.98B, adjusted EBITDA +43% to $970M (49% margin), and 2026 guidance calls for 26-31% GRLNF growth with 47% EBITDA margin and $5.50-5.70 non-GAAP EPS. [1] Global Blue adds a #1 market-share tax-free-shopping business with 4x lead over competitors and high-margin take rates, plus 80k+ international merchants. Forward P/E of 6.7 is compelling for a 30%+ compounder.</w:t>
      </w:r>
    </w:p>
    <w:p>
      <w:pPr>
        <w:spacing w:after="120"/>
      </w:pPr>
      <w:r>
        <w:rPr>
          <w:rFonts w:ascii="Calibri" w:hAnsi="Calibri"/>
          <w:b w:val="0"/>
          <w:color w:val="3A4A28"/>
          <w:sz w:val="20"/>
        </w:rPr>
        <w:t>Bear case: GAAP profit margin collapsed to 2.8% and trailing EPS was -72% YoY due to Global Blue integration costs and interest burden (D/E 236%). Founder Jared Isaacman's June 2025 transition to Executive Chairman (he was also briefly the NASA Administrator nominee) puts new CEO Taylor Lauber to the test in his first full year. Payments competition from Toast (restaurants), Block, and Stripe remains intense. If Global Blue integration stumbles or international take rates compress, the high-growth narrative breaks.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Blue integration delivering targeted $2.5-2.6B GRLNF in 2026 with international revenue doubling</w:t>
      </w:r>
    </w:p>
    <w:p>
      <w:pPr>
        <w:spacing w:before="40" w:after="40"/>
        <w:ind w:left="283"/>
      </w:pPr>
      <w:r>
        <w:rPr>
          <w:rFonts w:ascii="Calibri" w:hAnsi="Calibri"/>
          <w:b/>
          <w:color w:val="4A6B25"/>
          <w:sz w:val="20"/>
        </w:rPr>
        <w:t xml:space="preserve">2. </w:t>
      </w:r>
      <w:r>
        <w:rPr>
          <w:rFonts w:ascii="Calibri" w:hAnsi="Calibri"/>
          <w:b w:val="0"/>
          <w:color w:val="3A4A28"/>
          <w:sz w:val="20"/>
        </w:rPr>
        <w:t>All-in-one terminal launch across 15 countries in 2026 expanding addressable SMB merchant base</w:t>
      </w:r>
    </w:p>
    <w:p>
      <w:pPr>
        <w:spacing w:before="40" w:after="40"/>
        <w:ind w:left="283"/>
      </w:pPr>
      <w:r>
        <w:rPr>
          <w:rFonts w:ascii="Calibri" w:hAnsi="Calibri"/>
          <w:b/>
          <w:color w:val="4A6B25"/>
          <w:sz w:val="20"/>
        </w:rPr>
        <w:t xml:space="preserve">3. </w:t>
      </w:r>
      <w:r>
        <w:rPr>
          <w:rFonts w:ascii="Calibri" w:hAnsi="Calibri"/>
          <w:b w:val="0"/>
          <w:color w:val="3A4A28"/>
          <w:sz w:val="20"/>
        </w:rPr>
        <w:t>Adjusted free cash flow scaling from $500M 2025 toward $1B+ enabling deleveraging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High D/E of 236% from Global Blue acquisition constrains balance-sheet flexibility in a recession</w:t>
      </w:r>
    </w:p>
    <w:p>
      <w:pPr>
        <w:spacing w:before="40" w:after="40"/>
        <w:ind w:left="283"/>
      </w:pPr>
      <w:r>
        <w:rPr>
          <w:rFonts w:ascii="Calibri" w:hAnsi="Calibri"/>
          <w:b/>
          <w:color w:val="4A6B25"/>
          <w:sz w:val="20"/>
        </w:rPr>
        <w:t xml:space="preserve">2. </w:t>
      </w:r>
      <w:r>
        <w:rPr>
          <w:rFonts w:ascii="Calibri" w:hAnsi="Calibri"/>
          <w:b w:val="0"/>
          <w:color w:val="3A4A28"/>
          <w:sz w:val="20"/>
        </w:rPr>
        <w:t>New CEO Taylor Lauber's execution in first full year vs. founder Isaacman</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Toast, Block, Stripe compressing take rates below 60bps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Payment processing infrastructure is deeply protected from AI disruption - transaction rails, merchant acquiring, regulatory compliance, and hardware deployment are physical and regulated processes AI cannot replace. [2] Shift4 is actively integrating AI and tokenization into its product set, positioning itself as an AI beneficiary for personalized payment experiences. Analysts view Global Blue acquisition as accretive, not AI-threatened. Score: protection 6 + opportunity 1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Shift4 Payments Q4 2025 Earnings Call Highlights, Daily Political, March 2026</w:t>
      </w:r>
    </w:p>
    <w:p>
      <w:pPr>
        <w:spacing w:before="20" w:after="20"/>
        <w:ind w:left="170"/>
      </w:pPr>
      <w:r>
        <w:rPr>
          <w:rFonts w:ascii="Calibri" w:hAnsi="Calibri"/>
          <w:b/>
          <w:color w:val="4A6B25"/>
          <w:sz w:val="15"/>
        </w:rPr>
        <w:t xml:space="preserve">2. </w:t>
      </w:r>
      <w:r>
        <w:rPr>
          <w:rFonts w:ascii="Calibri" w:hAnsi="Calibri"/>
          <w:b w:val="0"/>
          <w:color w:val="3A4A28"/>
          <w:sz w:val="17"/>
        </w:rPr>
        <w:t>Shift4 CEO Taylor Lauber profile, FintechLeaders Substack, 2025</w:t>
      </w:r>
    </w:p>
    <w:p>
      <w:pPr>
        <w:spacing w:before="20" w:after="20"/>
        <w:ind w:left="170"/>
      </w:pPr>
      <w:r>
        <w:rPr>
          <w:rFonts w:ascii="Calibri" w:hAnsi="Calibri"/>
          <w:b/>
          <w:color w:val="4A6B25"/>
          <w:sz w:val="15"/>
        </w:rPr>
        <w:t xml:space="preserve">3. </w:t>
      </w:r>
      <w:r>
        <w:rPr>
          <w:rFonts w:ascii="Calibri" w:hAnsi="Calibri"/>
          <w:b w:val="0"/>
          <w:color w:val="3A4A28"/>
          <w:sz w:val="17"/>
        </w:rPr>
        <w:t>Shift4 ESG page, shift4.com/environmental-social-governance,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