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FRMI</w:t>
      </w:r>
      <w:r>
        <w:rPr>
          <w:rFonts w:ascii="Calibri" w:hAnsi="Calibri"/>
          <w:b/>
          <w:color w:val="1A2010"/>
          <w:sz w:val="40"/>
        </w:rPr>
        <w:t xml:space="preserve">  Fermi Inc.</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Independent Power Producers · NASDAQ · United States</w:t>
      </w:r>
    </w:p>
    <w:p>
      <w:pPr>
        <w:spacing w:after="80"/>
      </w:pPr>
      <w:r>
        <w:rPr>
          <w:rFonts w:ascii="Calibri" w:hAnsi="Calibri"/>
          <w:b w:val="0"/>
          <w:color w:val="3A4A28"/>
          <w:sz w:val="20"/>
        </w:rPr>
        <w:t>Fermi Inc. (d/b/a Fermi America) is a pre-revenue advanced energy and hyperscale data center development company co-founded by former U.S. Energy Secretary Rick Perry and Quantum Energy Partners co-founder Toby Neugebauer. The company is building Project Matador, a campus targeting 11 GW of private power generation (natural gas, nuclear, solar, battery) in Amarillo, Texas to serve AI hyperscalers.</w:t>
      </w:r>
    </w:p>
    <w:p>
      <w:r>
        <w:rPr>
          <w:rFonts w:ascii="Calibri" w:hAnsi="Calibri"/>
          <w:b/>
          <w:color w:val="6E8450"/>
          <w:sz w:val="18"/>
        </w:rPr>
        <w:t>100 Employees · https://fermiamerica.com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Fermi was incorporated in October 2025 and IPO'd the same month, so there is no meaningful track record of product launches or pivots — the company is entirely pre-revenue and pre-operational [1]. However, co-founder Toby Neugebauer built Quantum Energy Partners into a major energy private equity firm, demonstrating prior execution capability. AI Deployment (1/2): Fermi's entire business model is purpose-built for AI — providing gigawatt-scale private power to AI hyperscalers, though the company has not yet deployed any AI products itself [2]. Market Share (2/2): Fermi has filed the first Combined Operating License Application accepted by the NRC in 15+ years and secured 11 GW of clean air permits from TCEQ, positioning it as a first-mover in private AI power infrastructure [2]. The 2.3 GW of secured natural gas generation assets for 2026 delivery and partnerships with Westinghouse, Hyundai E&amp;C, and Doosan for 4.4 GW of nuclear capacity represent category-defining scale. Pipeline (2/2): Specific pipeline: 2.3 GW natural gas delivery in 2026, 4.4 GW AP1000 nuclear with Westinghouse, total campus projections upsized to 17 GW, groundbreak targeted July 4, 2026 [2]. R&amp;D Intensity (0/1): Pre-revenue company with no formal R&amp;D spending; capital is directed toward infrastructure development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Fermi's mission — to power the future of AI by building America's energy infrastructure — is specific, intentional, and connects the company's work to national competitiveness and AI advancement [2]. The framing that 'AI companies must continue leading global innovation, but without burdening the grid' articulates a genuine problem worth solving. Rick Perry's involvement as former Energy Secretary lends credibility to the energy independence narrative. Community Impact (1/2): The design prioritizes water conservation to protect the Ogallala Aquifer, and the campus is built on a 99-year Texas Tech University System lease near the Pantex DOE facility, suggesting community integration [3]. However, no charitable programs or foundation activity evident at this early stage. Employee Retention (0/2): Company is less than 6 months old with ~100 employees; no retention data available. Insider Buying (1/2): Co-founders Neugebauer and Perry hold significant equity stakes from the IPO; the $350M pre-IPO financing including Macquarie's $100M equity investment signals institutional insider conviction, though open-market buying post-IPO is not documented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metrics only. As a pre-revenue company, most financial metrics are unavailable (D/E, ROE, revenue growth, profit margin all null) [4]. The only scorable metric is Forward P/E of 16.7, which scores 1.0 (target ≤20, floor 60). With only one metric available, the weighted score is 1.0/1.0 × 10 = 10 [4]. IMPORTANT CAVEAT: This score reflects the mechanical algorithm applied to limited data — Fermi is pre-revenue with net losses of $346.8M in Q3 2025 and a class action lawsuit alleging overstated tenant demand [3]. The high infrastructure score should not be interpreted as financial strength; it reflects favorable forward earnings estimates on the sole available metric. Liquidity floor cleared: 7.3M avg vol × $6.18 = $44.9M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Fermi shows ambition consistent with infinite game thinking — building 11+ GW of power infrastructure on a 99-year land lease with nuclear reactors that operate for 60+ years signals long-term orientation. However, the company is too young (incorporated October 2025) to have been tested through adversity, and the aggressive IPO at zero revenue with subsequent 83% stock decline raises questions about whether the founders are playing an infinite game or capitalizing on AI hype. The class action lawsuit alleging overstated tenant demand adds governance concerns.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Fermi's stated mission — powering America's AI future through private energy infrastructure — is specific and connects to national competitiveness, energy independence, and technological leadership [2]. Rick Perry's involvement as former Energy Secretary gives the cause political weight. However, the company is 6 months old with zero revenue, so the cause is entirely aspirational and untested by execution.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Fermi has assembled a credible leadership team: Mesut Uzman's nuclear construction team claims 16 reactors built on time and on budget globally, and board members include former Dell President Marius Haas and former TerraPower CEO Lee McIntire [2]. However, the company is too new to assess organizational trust, and the rapid stock decline from $37 to $6 may test team cohesion.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Fermi positions itself as a first-mover building 'the world's largest private grid' rather than learning from competitors [2]. The company's narrative emphasizes scale and speed rather than acknowledging the formidable challenges that nuclear construction has historically presented — a concern raised by former NRC regulator Dale Klein, who cautioned about the industry's history of 'overpromising and underdelivering' [2]. Score: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Too early to assess. The company was incorporated in October 2025 and has never faced a strategic inflection point [1]. The multi-source energy strategy (natural gas + nuclear + solar + battery) shows some built-in flexibility, but Fermi has never demonstrated the ability to pivot under pressure. Score: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Filing the first NRC Combined Operating License Application in 15+ years demonstrates genuine courage — U.S. nuclear construction has been plagued by delays and cost overruns, and Fermi is betting billions on reversing that track record [2]. The July 4, 2026 targeted groundbreak on an 11 GW campus is extraordinarily ambitious. However, the aggressive IPO at zero revenue followed by an 83% stock decline suggests the timing may have prioritized capital raising over readiness.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Fermi represents a high-conviction bet on the intersection of AI demand growth and US energy infrastructure. The company has secured 2.3 GW of natural gas generation assets for 2026 delivery, 11 GW of TCEQ clean air permits (with 17 GW total campus projections), the first NRC Combined Operating License Application accepted in 15+ years for 4.4 GW of AP1000 nuclear, and partnerships with Westinghouse, Hyundai E&amp;C, and Doosan [2]. At $6.18 per share (83% below the $36.99 IPO peak), the $3.8B market cap prices in significant execution risk while analyst consensus targets $29.50 (308% upside) with a 'Strong Buy' rating from 9 analysts [1]. The $165M equipment financing and $350M pre-IPO financing (including Macquarie's $100M equity) provide near-term capital, and the 40% projected revenue CAGR from 2025-2028 reflects the structural tailwind from AI power demand [1].</w:t>
      </w:r>
    </w:p>
    <w:p>
      <w:pPr>
        <w:spacing w:after="120"/>
      </w:pPr>
      <w:r>
        <w:rPr>
          <w:rFonts w:ascii="Calibri" w:hAnsi="Calibri"/>
          <w:b w:val="0"/>
          <w:color w:val="3A4A28"/>
          <w:sz w:val="20"/>
        </w:rPr>
        <w:t>The bear case is substantial. Fermi is entirely pre-revenue with a $346.8M net loss in Q3 2025, and the company faces a class action lawsuit alleging it overstated tenant demand for Project Matador [3]. U.S. nuclear construction has a catastrophic track record — the last AP1000 reactors completed (Vogtle Units 3 &amp; 4 by Southern Company in 2023) were 7 years late and $17B over budget, and former NRC regulator Dale Klein warned about the industry's pattern of 'overpromising and underdelivering' [2]. The stock has fallen 83% from its IPO peak in 5 months, suggesting the market has lost confidence in near-term execution. The 14.6M shares sold short (2.4% of float) reflects bearish sentiment. Key risks include: nuclear construction execution (cost overruns, delays, NRC permitting); tenant demand materialization (hyperscaler commitments may not convert); capital requirements (building 11+ GW requires tens of billions in financing beyond current resources); and governance concerns raised by the class action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Matador groundbreak targeted July 4, 2026 — successful initiation of construction would validate the project timeline and potentially re-rate the stock toward analyst targets [2]</w:t>
      </w:r>
    </w:p>
    <w:p>
      <w:pPr>
        <w:spacing w:before="40" w:after="40"/>
        <w:ind w:left="283"/>
      </w:pPr>
      <w:r>
        <w:rPr>
          <w:rFonts w:ascii="Calibri" w:hAnsi="Calibri"/>
          <w:b/>
          <w:color w:val="4A6B25"/>
          <w:sz w:val="20"/>
        </w:rPr>
        <w:t xml:space="preserve">2. </w:t>
      </w:r>
      <w:r>
        <w:rPr>
          <w:rFonts w:ascii="Calibri" w:hAnsi="Calibri"/>
          <w:b w:val="0"/>
          <w:color w:val="3A4A28"/>
          <w:sz w:val="20"/>
        </w:rPr>
        <w:t>Q4 2025 earnings release scheduled March 30, 2026 — may provide first visibility into tenant commitments, capital deployment, and construction progress [1]</w:t>
      </w:r>
    </w:p>
    <w:p>
      <w:pPr>
        <w:spacing w:before="40" w:after="40"/>
        <w:ind w:left="283"/>
      </w:pPr>
      <w:r>
        <w:rPr>
          <w:rFonts w:ascii="Calibri" w:hAnsi="Calibri"/>
          <w:b/>
          <w:color w:val="4A6B25"/>
          <w:sz w:val="20"/>
        </w:rPr>
        <w:t xml:space="preserve">3. </w:t>
      </w:r>
      <w:r>
        <w:rPr>
          <w:rFonts w:ascii="Calibri" w:hAnsi="Calibri"/>
          <w:b w:val="0"/>
          <w:color w:val="3A4A28"/>
          <w:sz w:val="20"/>
        </w:rPr>
        <w:t>2.3 GW natural gas generation asset delivery in 2026 — first power generation would transform Fermi from pre-revenue to revenue-generating, the most critical de-risking milestone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Nuclear construction execution risk — US AP1000 track record includes 7 years of delays and $17B in cost overruns at Vogtle; Fermi's 4.4 GW nuclear ambition at 1 GW/year pace is unprecedented and unproven [2]</w:t>
      </w:r>
    </w:p>
    <w:p>
      <w:pPr>
        <w:spacing w:before="40" w:after="40"/>
        <w:ind w:left="283"/>
      </w:pPr>
      <w:r>
        <w:rPr>
          <w:rFonts w:ascii="Calibri" w:hAnsi="Calibri"/>
          <w:b/>
          <w:color w:val="4A6B25"/>
          <w:sz w:val="20"/>
        </w:rPr>
        <w:t xml:space="preserve">2. </w:t>
      </w:r>
      <w:r>
        <w:rPr>
          <w:rFonts w:ascii="Calibri" w:hAnsi="Calibri"/>
          <w:b w:val="0"/>
          <w:color w:val="3A4A28"/>
          <w:sz w:val="20"/>
        </w:rPr>
        <w:t>Class action lawsuit alleging overstated tenant demand — if hyperscaler commitments are weaker than disclosed, the entire business model faces viability questions [3]</w:t>
      </w:r>
    </w:p>
    <w:p>
      <w:pPr>
        <w:spacing w:before="40" w:after="40"/>
        <w:ind w:left="283"/>
      </w:pPr>
      <w:r>
        <w:rPr>
          <w:rFonts w:ascii="Calibri" w:hAnsi="Calibri"/>
          <w:b/>
          <w:color w:val="4A6B25"/>
          <w:sz w:val="20"/>
        </w:rPr>
        <w:t xml:space="preserve">3. </w:t>
      </w:r>
      <w:r>
        <w:rPr>
          <w:rFonts w:ascii="Calibri" w:hAnsi="Calibri"/>
          <w:b w:val="0"/>
          <w:color w:val="3A4A28"/>
          <w:sz w:val="20"/>
        </w:rPr>
        <w:t>Capital adequacy — building an 11-17 GW campus requires tens of billions in financing; current $165M term loan and $350M pre-IPO capital are a fraction of total needs, creating dilution and financing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Fermi's entire business IS AI infrastructure — the company exists to provide private gigawatt-scale power to AI hyperscalers [2]. AI cannot disrupt a company whose purpose is to enable AI. The physical infrastructure (natural gas turbines, nuclear reactors, solar, batteries, data center campus) is inherently immune to software-based disruption. As AI models grow larger and more compute-intensive, demand for Fermi's power infrastructure increases — AI growth is Fermi's growth driver, not its threat. The only exposure is execution risk: if AI demand growth stalls, Fermi's raison d'être weakens. AI Opportunity (1/1): Fermi's entire projected revenue stream comes from AI infrastructure — subleasing data center space and delivering power to AI hyperscalers [2]. Analyst projections of 40% revenue CAGR from 2025-2028 are entirely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Fermi Inc. IPO and Financial Overview — $21/share IPO October 2025, $346.8M Q3 2025 net loss, $165M term loan, analyst consensus $29.50 target, Yahoo Finance and Nasdaq data</w:t>
      </w:r>
    </w:p>
    <w:p>
      <w:pPr>
        <w:spacing w:before="20" w:after="20"/>
        <w:ind w:left="170"/>
      </w:pPr>
      <w:r>
        <w:rPr>
          <w:rFonts w:ascii="Calibri" w:hAnsi="Calibri"/>
          <w:b/>
          <w:color w:val="4A6B25"/>
          <w:sz w:val="15"/>
        </w:rPr>
        <w:t xml:space="preserve">2. </w:t>
      </w:r>
      <w:r>
        <w:rPr>
          <w:rFonts w:ascii="Calibri" w:hAnsi="Calibri"/>
          <w:b w:val="0"/>
          <w:color w:val="3A4A28"/>
          <w:sz w:val="17"/>
        </w:rPr>
        <w:t>Fermi America Corporate Website and Press Releases — Project Matador, 11 GW campus, NRC COLA filing, Westinghouse/Hyundai/Doosan partnerships, 17 GW permit expansion,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Fermi Inc. ESG and Legal — Class action lawsuit alleging overstated tenant demand, TCEQ clean air permit approvals, Ogallala Aquifer water conservation design,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FRMI key statistics, price $6.18, Forward P/E 16.7, avg volume 7.3M,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