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FROG</w:t>
      </w:r>
      <w:r>
        <w:rPr>
          <w:rFonts w:ascii="Calibri" w:hAnsi="Calibri"/>
          <w:b/>
          <w:color w:val="1A2010"/>
          <w:sz w:val="40"/>
        </w:rPr>
        <w:t xml:space="preserve">  JFrog Ltd.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2026-04-08 · Inspire: 43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NMS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JFrog provides a DevOps platform for software supply chain management, including artifact management, CI/CD, and security solutions. The company serves enterprises managing software delivery and binary management.</w:t>
      </w:r>
    </w:p>
    <w:p>
      <w:r>
        <w:rPr>
          <w:rFonts w:ascii="Calibri" w:hAnsi="Calibri"/>
          <w:b/>
          <w:color w:val="6E8450"/>
          <w:sz w:val="18"/>
        </w:rPr>
        <w:t>1,800 Employees · https://www.jfrog.com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Revenue growth of 25.2% YoY demonstrates strong enterprise adoption of the DevOps platform [1]. AI Deployment (1/2): AI-powered security scanning and vulnerability detection in software supply chain. Market Share (1/2): Leading binary repository management but competes with GitHub, GitLab, Sonatype. Pipeline (1/2): Expanding platform into security and ML model management. R&amp;D Intensity (1/1): High R&amp;D investment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Clear mission around liquid software delivery. Community (1/2): 1,800 employees with developer community. Retention (1/2): Stable engineering team. Insider (1/2): Some insider alignment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JFrog shows growth but weak profitability metrics. Forward P/E of 44.81 is expensive [1]. Profit margin of -13.5% is negative, ROE of -8.6% is negative. D/E of 1.4% is minimal. Revenue growth of 25.2% is strong. Liquidity cleared at $166M daily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JFrog plays a moderately infinite game through its commitment to the developer community and open-source roots.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Genuine cause (2 pts → 7/10): Enabling continuous, secure software delivery at scale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Adequate (1 pt → 6/10): 1,800 engineers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Finite (0→3)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(1→6): Expanded from binary repo to full DevOps platform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standout (0→2)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JFrog's DevOps platform delivers 25.2% revenue growth with expanding enterprise adoption and AI-powered security capabilities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Negative profitability with -13.5% profit margin and expensive 44.81x forward P/E require faith in the growth trajectory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Enterprise DevOps platform expansion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 security scanning adoption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ML model management opportunity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Negative profitability at scale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Expensive valuation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Competition from GitHub, GitLab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Software supply chain management requires specialized platform capabilities but AI-powered DevOps tools could commoditize some features [1]. JFrog's binary repository expertise provides a moat. AI Opportunity (1/1): AI-powered security scanning and ML model management generate revenue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Yahoo Finance / yfinance data for FROG (JFrog),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