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FRO</w:t>
      </w:r>
      <w:r>
        <w:rPr>
          <w:rFonts w:ascii="Calibri" w:hAnsi="Calibri"/>
          <w:b/>
          <w:color w:val="1A2010"/>
          <w:sz w:val="40"/>
        </w:rPr>
        <w:t xml:space="preserve">  Frontline plc</w:t>
      </w:r>
    </w:p>
    <w:p>
      <w:pPr>
        <w:spacing w:after="120"/>
      </w:pPr>
      <w:r>
        <w:rPr>
          <w:rFonts w:ascii="Calibri" w:hAnsi="Calibri"/>
          <w:b/>
          <w:color w:val="6E8450"/>
          <w:sz w:val="18"/>
        </w:rPr>
        <w:t>DIVIDEND SLEEVE · 2026-04-07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Cyprus</w:t>
      </w:r>
    </w:p>
    <w:p>
      <w:pPr>
        <w:spacing w:after="80"/>
      </w:pPr>
      <w:r>
        <w:rPr>
          <w:rFonts w:ascii="Calibri" w:hAnsi="Calibri"/>
          <w:b w:val="0"/>
          <w:color w:val="3A4A28"/>
          <w:sz w:val="20"/>
        </w:rPr>
        <w:t>Frontline plc is a leading international tanker company engaged in the ownership and operation of oil and product tankers worldwide. The company operates a fleet of 80 vessels including 41 VLCCs, 21 Suezmax tankers, and 18 LR2/Aframax tankers, with an average fleet age of 6.6 years. Controlled by John Fredriksen. Founded in 1985 and based in Limassol, Cyprus.</w:t>
      </w:r>
    </w:p>
    <w:p>
      <w:r>
        <w:rPr>
          <w:rFonts w:ascii="Calibri" w:hAnsi="Calibri"/>
          <w:b/>
          <w:color w:val="6E8450"/>
          <w:sz w:val="18"/>
        </w:rPr>
        <w:t>85 Employees · https://www.frontlineplc.cy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Frontline completed its merger with Euronav in 2024, creating one of the world's largest crude tanker operators with 80 vessels — a significant strategic consolidation [1]. However, the core business model (owning and chartering tankers) is unchanged from decades ago. AI Deployment (0/2): No AI-powered products or quantified AI-driven efficiencies reported; the company relies on traditional maritime operations and commercial chartering [2]. Market Share (2/2): Frontline operates one of the youngest and largest VLCC fleets globally, with 80 vessels averaging 6.6 years old — significantly below industry average [1][3]. The company is a top-5 tanker company by fleet size. Pipeline (1/2): Fleet renewal is ongoing with ECO-fitted vessels, and 45 scrubber-fitted ships provide fuel cost advantages [3]. R&amp;D Intensity (0/1): Tanker shipping does not involve traditional R&amp;D; capital allocation goes to fleet acquisition and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Frontline's purpose is to transport oil and petroleum products efficiently — a functional description rather than an inspiring mission [2]. There is no articulated vision beyond being a leading tanker operator. Community Impact (0/2): No evidence of charitable programs, community investment, or philanthropic initiatives beyond standard ESG reporting [3]. Employee Retention (1/2): With only 85 shore-based employees and ~3,000 seafarers, the company maintains a lean operation; CEO Lars Barstad has served since 2021, providing some leadership continuity [2]. Insider Buying (1/2): John Fredriksen's controlling interest represents significant insider alignment with shareholders, though this is inherited ownership rather than recent open-market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Frontline's financials reflect a cyclically strong period in tanker markets. D/E of 122.2% is elevated but standard for asset-heavy shipping with $3.07B in vessel-secured debt [4]. ROE of 15.6% meets the target threshold, and profit margin of 19.3% is near the 20% target [1][4]. Revenue growth of 46.7% YoY reflects the tanker rate boom driven by geopolitical disruption (Strait of Hormuz tensions), not organic market share gains [1]. Forward P/E of 15.5x is attractive at below the 20x target [4]. Q4 2025 profit surged to $227.9M from $40.3M in Q3, demonstrating extreme cyclicality [1]. Dividend payout ratio of 54.7% is above the 40% target, and the dividend history is highly irregular — payments were skipped in 2012-2014, 2018, and 2021 [4]. Liquidity floor cleared: 4.05M avg vol x $36.48 = $147.6M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Frontline plays a moderately infinite game under John Fredriksen's long-term vision of building the world's premier tanker fleet. The Euronav merger, fleet renewal to ECO vessels, and willingness to invest counter-cyclically demonstrate some infinite thinking. However, the core business is inherently cyclical and opportunistic — tanker companies exist to arbitrage freight rate cycles rather than advance a transformative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Frontline's purpose is to be the world's leading tanker operator — functional but not a just cause in Sinek's framework [2]. Transporting oil is essential infrastructure, but the company's competitive language centers on fleet size, vessel age, and rate capture rather than a vision of a better future. There is no cause that transcends the current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With only 85 shore-based employees, Frontline operates an extremely lean organization managed by Frontline Management AS [2]. CEO Lars Barstad has served since 2021. The company successfully integrated Euronav's operations post-merger, suggesting functional organizational trust. However, the seafarer workforce of ~3,000 is industry-standard and shows no evidence of exceptional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Frontline acknowledges competitive dynamics with DHT Holdings, International Seaways, and Teekay, using fleet quality (youngest ECO fleet) and scale as differentiators [1]. The Euronav merger itself was a response to competitive pressure — rather than destroying rivals, Frontline absorbed Euronav to create mutual value despite significant shareholder opposition from the Saverys family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Frontline has evolved through fleet renewal and the transformative Euronav merger, shifting from an aging fleet to the youngest ECO-fleet in the industry [1][3]. The company's ESG fleet outperforms IMO and Poseidon Principles decarbonization trajectories [3]. However, the fundamental business — owning and chartering oil tankers — has not changed in four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Fredriksen has historically invested counter-cyclically in tankers, buying vessels during downturns when prices are low — a pattern of courage that requires conviction during market pessimism [1]. The Euronav merger was pursued despite vocal opposition from Euronav's largest shareholder family. However, these are financially motivated decisions rather than cause-driven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Frontline operates one of the world's largest and youngest tanker fleets (80 vessels, 6.6-year average age) at a cyclically favorable moment — Q4 2025 profit surged to $227.9M as geopolitical tensions around the Strait of Hormuz drove VLCC rates sharply higher [1]. The stock is up 62.6% YTD in 2026, reflecting elevated crude tanker rates and strong fleet utilization [1]. Forward P/E of 15.5x is undemanding for a company with 46.7% revenue growth, 15.6% ROE, and 19.3% profit margin [4]. The ECO-fitted fleet outperforms IMO decarbonization trajectories, providing regulatory cost advantages [3]. Dividend yield of 4.8% provides income while waiting for further rate appreciation.</w:t>
      </w:r>
    </w:p>
    <w:p>
      <w:pPr>
        <w:spacing w:after="120"/>
      </w:pPr>
      <w:r>
        <w:rPr>
          <w:rFonts w:ascii="Calibri" w:hAnsi="Calibri"/>
          <w:b w:val="0"/>
          <w:color w:val="3A4A28"/>
          <w:sz w:val="20"/>
        </w:rPr>
        <w:t>The bear case centers on extreme cyclicality and geopolitical dependence. Tanker rates are inherently volatile — Frontline's Q3 2025 profit was only $40.3M versus Q4's $227.9M, a 5.7x quarter-over-quarter swing [1]. The current rate boom is driven by the Iran conflict and Strait of Hormuz fears; any diplomatic resolution could collapse rates rapidly. D/E of 122.2% with $3.07B in debt creates leverage risk during downturn periods [4]. The dividend has been irregular historically — skipped in 2012-2014, 2018, and 2021 — and is not growing consistently [4]. Full-year 2025 revenue of $1.97B actually declined 4.2% from 2024's $2.05B despite the Q4 spike, showing the rate cycle had been weak for most of the year [1]. The Euronav merger integration added operational complexity, and the Saverys family opposition highlighted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Strait of Hormuz disruption and Iran sanctions could keep VLCC rates elevated through 2026, driving earnings well above consensus [1]</w:t>
      </w:r>
    </w:p>
    <w:p>
      <w:pPr>
        <w:spacing w:before="40" w:after="40"/>
        <w:ind w:left="283"/>
      </w:pPr>
      <w:r>
        <w:rPr>
          <w:rFonts w:ascii="Calibri" w:hAnsi="Calibri"/>
          <w:b/>
          <w:color w:val="4A6B25"/>
          <w:sz w:val="20"/>
        </w:rPr>
        <w:t xml:space="preserve">2. </w:t>
      </w:r>
      <w:r>
        <w:rPr>
          <w:rFonts w:ascii="Calibri" w:hAnsi="Calibri"/>
          <w:b w:val="0"/>
          <w:color w:val="3A4A28"/>
          <w:sz w:val="20"/>
        </w:rPr>
        <w:t>Limited global newbuild orderbook for VLCCs creates a supply constraint that supports rates even if geopolitical tensions ease [1]</w:t>
      </w:r>
    </w:p>
    <w:p>
      <w:pPr>
        <w:spacing w:before="40" w:after="40"/>
        <w:ind w:left="283"/>
      </w:pPr>
      <w:r>
        <w:rPr>
          <w:rFonts w:ascii="Calibri" w:hAnsi="Calibri"/>
          <w:b/>
          <w:color w:val="4A6B25"/>
          <w:sz w:val="20"/>
        </w:rPr>
        <w:t xml:space="preserve">3. </w:t>
      </w:r>
      <w:r>
        <w:rPr>
          <w:rFonts w:ascii="Calibri" w:hAnsi="Calibri"/>
          <w:b w:val="0"/>
          <w:color w:val="3A4A28"/>
          <w:sz w:val="20"/>
        </w:rPr>
        <w:t>Fleet-wide ECO and scrubber retrofits provide 15-20% fuel cost advantages versus older competitor fleets, widening margins in any rate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de-escalation — any resolution of Iran/Strait of Hormuz tensions could collapse VLCC rates from current elevated levels within weeks [1]</w:t>
      </w:r>
    </w:p>
    <w:p>
      <w:pPr>
        <w:spacing w:before="40" w:after="40"/>
        <w:ind w:left="283"/>
      </w:pPr>
      <w:r>
        <w:rPr>
          <w:rFonts w:ascii="Calibri" w:hAnsi="Calibri"/>
          <w:b/>
          <w:color w:val="4A6B25"/>
          <w:sz w:val="20"/>
        </w:rPr>
        <w:t xml:space="preserve">2. </w:t>
      </w:r>
      <w:r>
        <w:rPr>
          <w:rFonts w:ascii="Calibri" w:hAnsi="Calibri"/>
          <w:b w:val="0"/>
          <w:color w:val="3A4A28"/>
          <w:sz w:val="20"/>
        </w:rPr>
        <w:t>Extreme earnings cyclicality — Q3 vs Q4 2025 profit swung from $40M to $228M, making forward earnings essentially unpredictable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risk — long-term decline in global crude oil demand from EV adoption and renewables could structurally reduce tanker demand over 10-20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Tanker shipping is a physical-world infrastructure business that AI structurally cannot displace — crude oil must be physically transported across oceans regardless of AI advancement [1]. The 80-vessel fleet operating in global sea lanes requires physical assets, crew, and navigation that no AI system can substitute. AI may actually increase oil demand through data center energy consumption. Geopolitical disruptions (Strait of Hormuz closure, sanctions) create demand spikes that are inherently unpredictable and require physical vessel capacity [1]. AI Opportunity (0/1): Frontline does not generate revenue from AI products. Maritime AI tools from companies like Windward are used industry-wide for compliance and routing but represent cost savings, not Frontline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Frontline Q4 2025 Earnings — $227.9M profit, $624.5M revenue, fleet renewal, February 2026</w:t>
      </w:r>
    </w:p>
    <w:p>
      <w:pPr>
        <w:spacing w:before="20" w:after="20"/>
        <w:ind w:left="170"/>
      </w:pPr>
      <w:r>
        <w:rPr>
          <w:rFonts w:ascii="Calibri" w:hAnsi="Calibri"/>
          <w:b/>
          <w:color w:val="4A6B25"/>
          <w:sz w:val="15"/>
        </w:rPr>
        <w:t xml:space="preserve">2. </w:t>
      </w:r>
      <w:r>
        <w:rPr>
          <w:rFonts w:ascii="Calibri" w:hAnsi="Calibri"/>
          <w:b w:val="0"/>
          <w:color w:val="3A4A28"/>
          <w:sz w:val="17"/>
        </w:rPr>
        <w:t>Frontline Corporate Website and Leadership — Lars Barstad CEO, John Fredriksen controlling shareholder,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Frontline ESG Report 2024 — ECO fleet, IMO compliance, Euronav merger ESG dynamics,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FRO (Frontline plc),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