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FRSH</w:t>
      </w:r>
      <w:r>
        <w:rPr>
          <w:rFonts w:ascii="Calibri" w:hAnsi="Calibri"/>
          <w:b/>
          <w:color w:val="1A2010"/>
          <w:sz w:val="40"/>
        </w:rPr>
        <w:t xml:space="preserve">  Freshworks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46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Freshworks Inc. provides SaaS products for customer experience (CX) and employee experience (EX), including Freshdesk Omni, Freshsales, Freshservice, and the Freddy AI platform. The company serves 75,000+ customers worldwide from its San Mateo, California headquarters.</w:t>
      </w:r>
    </w:p>
    <w:p>
      <w:r>
        <w:rPr>
          <w:rFonts w:ascii="Calibri" w:hAnsi="Calibri"/>
          <w:b/>
          <w:color w:val="6E8450"/>
          <w:sz w:val="18"/>
        </w:rPr>
        <w:t>4,500 Employees · https://www.freshworks.com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Freshworks has committed to an AI-first transformation centered on Freddy AI, its cross-suite agentic layer that now generates $25M in ARR, nearly doubling YoY [1][2]. AI-paying customers exhibit 116% net dollar retention versus 108% for the broader base, validating product-market fit. R&amp;D investment fuels a pipeline targeting $100M in AI ARR by 2028, though only 8,000 of 75,000 customers use paid AI features, leaving substantial penetration upside [1]. The Device42 and FireHydrant acquisitions extend the platform into IT discovery and incident management, broadening TAM.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Freshworks' mission of 'making it fast and easy for businesses to delight their customers and employees' is functional but lacks aspirational depth. Glassdoor rating of 3.5/5 with only 58% recommending the company reflects post-IPO cultural friction, with recurring complaints about micromanagement, layoffs, and India-US tensions [3]. CEO Dennis Woodside has improved operational rigor and margin discipline since founder Girish Mathrubootham transitioned to Executive Chairman, but employee sentiment has declined 2% over the past year [3]. The $400M buyback signals capital return commitment but insider buying data is limited.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Freshworks achieved its first full-year GAAP profitability in 2025 with $184M net income on $839M revenue, a dramatic turnaround from prior-year losses [1]. Forward P/E of 11.6x is exceptionally cheap for a SaaS company growing 14.5%, D/E is negligible at 4.1%, ROE reached 16.9%, and profit margin hit 21.9% [5]. Free cash flow margin of 25% and $781M cash versus $43M debt provide a fortress balance sheet. Revenue growth 3yr CAGR of ~19% from $498M to $839M demonstrates sustained execution.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Freshworks shows mixed infinite-game signals: the CEO transition from founder Mathrubootham to operator Woodside prioritizes near-term margin expansion and operational efficiency over long-term visionary play. The $1B ARR target and AI transformation suggest ambition, but repeated guidance resets and stock price declines suggest the company is playing to satisfy quarterly expectations rather than building for decades.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Freshworks' mission to simplify business software is practical but lacks the transcendent quality of a Just Cause — it describes what the company does rather than why it matters. CEO Woodside's focus on 'uncomplicated competitive advantage' is strategically sound but operationally oriented rather than purpose-driven [2]. One checklist item met: clear articulation of customer benefit.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Glassdoor's 3.5/5 rating with declining sentiment and widespread complaints about micromanagement and poor promotion practices suggest trust erosion [3]. However, the leadership transition has been relatively smooth, and the company invests in learning resources and automation tools for employees. One of two checklist items met: investment in employee development exists but trust dynamics are strained.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Freshworks explicitly studies competitors like Salesforce, ServiceNow, and Zendesk, using their strengths as motivation for its own mid-market AI strategy. CEO Woodside has publicly acknowledged the AI disruption threat to the SaaS sector broadly, demonstrating willingness to learn from competitive dynamics rather than dismiss them [4]. Full checklist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pure helpdesk tool to an AI-first platform spanning CX and EX represents meaningful strategic flexibility, reinforced by acquisitions of Device42 and FireHydrant [2]. However, the guidance reset and 17% stock drop after Q4 results suggest the market questions whether the transformation pace is sufficient. One of two checklist items met.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Woodside's willingness to reset guidance and prioritize margins over growth-at-all-costs reflects operational courage, even at the cost of a 17% stock drop [1]. The $400M buyback amid uncertainty shows conviction. However, the CEO transition itself was driven by necessity rather than bold strategic choice. One of two checklist items met.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Freshworks represents a compelling value opportunity in SaaS, trading at just 11.6x forward earnings despite 14.5% revenue growth, first-ever GAAP profitability, and a fortress balance sheet with $781M cash [1][5]. The Freddy AI platform is gaining traction with 116% net retention among AI adopters, and the company targets $1B ARR by year-end 2026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tension is between exceptional financial metrics and real AI disruption risk. Oppenheimer's warning about agentic AI threats and the per-seat pricing transition challenge cannot be dismissed [4]. However, at current valuations, much of this risk appears priced in — the stock has fallen 58% over 12 months and 32% YTD. For patient investors, the combination of deep value, improving profitability, and AI monetization optionality creates an asymmetric risk/reward profile.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ARR reaching $100M target by 2028, with only 11% penetration of existing customer base today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Achieving $1B ARR milestone by year-end 2026, validating growth trajectory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 expansion exiting Q4 2026 at ~23.5% non-GAAP operating margin, demonstrating operating leverage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AI-native startups disrupting Freshworks' SMB/mid-market base with outcome-based pricing models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growth deceleration from 16% to 13.5-14.5% may signal structural demand ceiling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transition risk as founder steps back and cultural friction persists with declining Glassdoor scores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Freshworks faces material AI disruption risk as a mid-market SaaS provider with lighter enterprise lock-in than peers like Salesforce or ServiceNow [4]. Oppenheimer flagged FRSH as vulnerable to agentic AI disruption, citing weak AI defensibility and brittle pricing power, while Artisan Small Cap Fund exited citing concerns about the per-seat to outcome-based pricing transition [4]. However, Freshworks is actively embedding AI throughout its product suite, with Freddy AI driving 116% net retention among adopters versus 108% baseline [2]. The risk is real but partially mitigated by execution — AI Risk Protection score of 5, AI Opportunity tiebreaker of 0 given the competitive intensity from AI-native startups at the low end.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Freshworks Q4 2025 Earnings Release, February 10,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BW Businessworld — 'We've Become An AI-first Company': Freshworks CEO interview,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Freshworks Reviews, 2,987 reviews,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Seeking Alpha — 'Freshworks Continues Work To Avoid GenAI Disruption From Below',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FRSH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