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FR</w:t>
      </w:r>
      <w:r>
        <w:rPr>
          <w:rFonts w:ascii="Calibri" w:hAnsi="Calibri"/>
          <w:b/>
          <w:color w:val="1A2010"/>
          <w:sz w:val="40"/>
        </w:rPr>
        <w:t xml:space="preserve">  First Industrial Realty Trust, Inc.</w:t>
      </w:r>
    </w:p>
    <w:p>
      <w:pPr>
        <w:spacing w:after="120"/>
      </w:pPr>
      <w:r>
        <w:rPr>
          <w:rFonts w:ascii="Calibri" w:hAnsi="Calibri"/>
          <w:b/>
          <w:color w:val="6E8450"/>
          <w:sz w:val="18"/>
        </w:rPr>
        <w:t>DIVIDEND SLEEVE · 2026-05-03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First Industrial Realty Trust is a U.S.-only owner, operator, developer, and acquirer of logistics properties. The company owns and has under development approximately 71.6 million square feet of industrial space concentrated in 15 target MSAs, serving multinational corporations and regional firms with supply chain-critical facilities.</w:t>
      </w:r>
    </w:p>
    <w:p>
      <w:r>
        <w:rPr>
          <w:rFonts w:ascii="Calibri" w:hAnsi="Calibri"/>
          <w:b/>
          <w:color w:val="6E8450"/>
          <w:sz w:val="18"/>
        </w:rPr>
        <w:t>151 Employees · https://www.firstindustrial.com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First Industrial has executed well on its focused logistics REIT strategy, delivering Q1 2026 revenue of $194.8M (+66.4% YoY due to one-time gains) and same-store NOI growth of 8.7%, but this reflects operational execution rather than product innovation [1]. AI Deployment (0/2): No evidence of AI-powered products or services; the company operates physical warehouses with traditional property management systems [2]. Market Share (2/2): First Industrial is a meaningful industrial REIT player with 71.6M sq ft across 15 target MSAs, benefiting from secular e-commerce and supply chain nearshoring tailwinds that continue to drive demand for logistics space [1]. Pipeline (1/2): Active development pipeline with new logistics facilities under construction, though specific next-gen projects with timelines are limited to standard real estate development [1]. R&amp;D Intensity (1/1): For a REIT, First Industrial invests above-average in development capabilities and market analysis to identify high-value logistics locations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First Industrial's purpose — providing high-quality logistics facilities and industry-leading customer service — is clear but standard for the industrial REIT sector, describing what the company does rather than articulating a transformative vision [2]. Community Impact (1/2): The company publishes a Corporate Responsibility Report with ESG initiatives, but no distinctive philanthropic programs or community investment beyond standard corporate responsibility [3]. Employee Retention (1/2): With only 151 employees, employee reviews show positive sentiments about culture and coworkers, though concerns about senior leadership stagnation and lack of career movement for positions held by 15+ year tenured executives [2]. Insider Buying (1/2): CEO Peter Baccile has been in role since September 2016 (9.5+ years), providing leadership continuity, but activist investor Land &amp; Buildings has criticized board entrenchment and governance failures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Industrial's financial profile is strong for a REIT. D/E of 90.6% yields a score of 0.91. ROE of 12.8% is slightly below the 15% target (score 0.86) but solid for a REIT. Revenue growth of 10% YoY and 10.4% 3-year CAGR both hit the target [1]. Forward P/E of 33.5x is elevated (score 0.66), typical for REITs priced on FFO rather than earnings. Profit margin of 46.0% is excellent (score 1.0) [4]. Dividend metrics are strong: payout ratio 70.8% (score 0.49), consecutive years paid 32 (score 1.0, 2x weight), consecutive years growth 6 (score 0.60), and 5-year dividend CAGR of 12.2% (score 1.0, 2x weight) [4]. Liquidity floor cleared: 1.08M avg vol × $62.14 = $66.8M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First Industrial plays a steady, long-term game as a focused U.S. industrial REIT, but faces governance concerns raised by activist investor Land &amp; Buildings regarding board entrenchment and management compensation. The company's 32-year dividend history and consistent property strategy suggest institutional patience, while the activist campaign highlights finite-game governance tendencies.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Industrial's cause — being a leading provider of logistics properties — is functional rather than inspirational. The company has maintained strategic focus on industrial properties for decades, which shows consistency, but the purpose is tied to operational excellence rather than a transformative vision of the future.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151 employees, First Industrial operates as a lean, focused team. Employee reviews cite positive culture and coworker relationships as strengths, but concerns about senior leadership stagnation and lack of career advancement suggest limited trust-building beyond the existing power structure [2].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First Industrial explicitly acknowledging competitors as worthy rivals or framing competition as motivation to improve. The activist campaign from Land &amp; Buildings suggests the company may be too insular in its competitive awareness, with management focused on defending existing position rather than learning from rivals.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First Industrial has evolved from a diversified REIT to a pure-play U.S. industrial logistics operator, narrowing focus to 15 target MSAs and high-demand logistics properties [1]. This strategic narrowing — exiting non-core markets and property types — shows some flexibility, though it was incremental rather than transformative.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Peter Baccile's 9.5-year tenure has delivered consistent execution and dividend growth, maintaining a development pipeline through market cycles. However, Land &amp; Buildings' criticism of excessive management compensation despite persistent valuation discount raises questions about whether leadership prioritizes shareholder value or self-preservation [3].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First Industrial Realty Trust delivered a blowout Q1 2026 with revenue of $194.8M (beating consensus of $181.1M) and EPS of $1.08 (vs. $0.33 expected), driven by same-store NOI growth of 8.7% and strong leasing activity across its 71.6M sq ft logistics portfolio [1]. The company benefits from secular tailwinds — e-commerce fulfillment, supply chain nearshoring, and AI data center buildout — that drive sustained demand for well-located industrial space in its 15 target MSAs. A 32-year dividend payment history with 12.2% 5-year CAGR at a 3.04% current yield provides attractive income growing well above inflation [4]. FY2026 EPS guidance of $3.09-$3.19 represents substantial growth from FY2025, with FFO of $0.72/share (ex-proxy costs) showing stable cash generation.</w:t>
      </w:r>
    </w:p>
    <w:p>
      <w:pPr>
        <w:spacing w:after="120"/>
      </w:pPr>
      <w:r>
        <w:rPr>
          <w:rFonts w:ascii="Calibri" w:hAnsi="Calibri"/>
          <w:b w:val="0"/>
          <w:color w:val="3A4A28"/>
          <w:sz w:val="20"/>
        </w:rPr>
        <w:t>The bear case centers on governance risk and valuation. Activist investor Land &amp; Buildings has launched a proxy campaign criticizing board entrenchment — specifically Chairman Matt Dominski and Director H. Patrick Hackett Jr. — for long tenures, excessive compensation, and a persistent valuation discount of approximately $15/share versus peers [3]. Forward P/E of 33.5x (while REITs should be valued on FFO) and D/E of 90.6% are elevated relative to peers. Revenue growth of 10% may face headwinds from tariff uncertainty that management flagged as a concern for tenant leasing decisions [2]. The slim 151-person organization creates key-person risk, and the lack of career mobility cited in employee reviews could impact talent retention. FFO per share of $0.68 was flat YoY in Q1 2026 excluding one-time items, suggesting underlying growth is moderate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e-commerce and supply chain nearshoring demand driving sustained occupancy and rent growth across 15 target MSAs, with Q1 2026 same-store NOI growth of 8.7% [1]</w:t>
      </w:r>
    </w:p>
    <w:p>
      <w:pPr>
        <w:spacing w:before="40" w:after="40"/>
        <w:ind w:left="283"/>
      </w:pPr>
      <w:r>
        <w:rPr>
          <w:rFonts w:ascii="Calibri" w:hAnsi="Calibri"/>
          <w:b/>
          <w:color w:val="4A6B25"/>
          <w:sz w:val="20"/>
        </w:rPr>
        <w:t xml:space="preserve">2. </w:t>
      </w:r>
      <w:r>
        <w:rPr>
          <w:rFonts w:ascii="Calibri" w:hAnsi="Calibri"/>
          <w:b w:val="0"/>
          <w:color w:val="3A4A28"/>
          <w:sz w:val="20"/>
        </w:rPr>
        <w:t>FY2026 EPS guidance of $3.09-$3.19 representing substantial uplift, supported by active development pipeline and strong leasing spreads [1]</w:t>
      </w:r>
    </w:p>
    <w:p>
      <w:pPr>
        <w:spacing w:before="40" w:after="40"/>
        <w:ind w:left="283"/>
      </w:pPr>
      <w:r>
        <w:rPr>
          <w:rFonts w:ascii="Calibri" w:hAnsi="Calibri"/>
          <w:b/>
          <w:color w:val="4A6B25"/>
          <w:sz w:val="20"/>
        </w:rPr>
        <w:t xml:space="preserve">3. </w:t>
      </w:r>
      <w:r>
        <w:rPr>
          <w:rFonts w:ascii="Calibri" w:hAnsi="Calibri"/>
          <w:b w:val="0"/>
          <w:color w:val="3A4A28"/>
          <w:sz w:val="20"/>
        </w:rPr>
        <w:t>Potential activist-driven governance improvements from Land &amp; Buildings campaign, which could unlock estimated $15/share valuation gap versus peers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entrenchment — Land &amp; Buildings proxy campaign highlights long-tenured board, excessive compensation, and persistent valuation discount, creating uncertainty around the 2026 annual meeting [3]</w:t>
      </w:r>
    </w:p>
    <w:p>
      <w:pPr>
        <w:spacing w:before="40" w:after="40"/>
        <w:ind w:left="283"/>
      </w:pPr>
      <w:r>
        <w:rPr>
          <w:rFonts w:ascii="Calibri" w:hAnsi="Calibri"/>
          <w:b/>
          <w:color w:val="4A6B25"/>
          <w:sz w:val="20"/>
        </w:rPr>
        <w:t xml:space="preserve">2. </w:t>
      </w:r>
      <w:r>
        <w:rPr>
          <w:rFonts w:ascii="Calibri" w:hAnsi="Calibri"/>
          <w:b w:val="0"/>
          <w:color w:val="3A4A28"/>
          <w:sz w:val="20"/>
        </w:rPr>
        <w:t>Tariff and trade policy uncertainty that management flagged as impacting tenant leasing decisions and business activity levels [2]</w:t>
      </w:r>
    </w:p>
    <w:p>
      <w:pPr>
        <w:spacing w:before="40" w:after="40"/>
        <w:ind w:left="283"/>
      </w:pPr>
      <w:r>
        <w:rPr>
          <w:rFonts w:ascii="Calibri" w:hAnsi="Calibri"/>
          <w:b/>
          <w:color w:val="4A6B25"/>
          <w:sz w:val="20"/>
        </w:rPr>
        <w:t xml:space="preserve">3. </w:t>
      </w:r>
      <w:r>
        <w:rPr>
          <w:rFonts w:ascii="Calibri" w:hAnsi="Calibri"/>
          <w:b w:val="0"/>
          <w:color w:val="3A4A28"/>
          <w:sz w:val="20"/>
        </w:rPr>
        <w:t>Elevated forward P/E of 33.5x and 90.6% D/E ratio create vulnerability if interest rates remain elevated or industrial REIT cap rates expand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First Industrial's core business — owning and operating physical warehouse and logistics buildings — is structurally immune to AI disruption [1]. AI cannot replace 71.6M square feet of physical industrial space; if anything, AI-driven e-commerce optimization increases demand for logistics facilities. The AI disruption risks in real estate primarily threaten services companies (brokerages like CBRE, JLL) rather than physical asset owners [2]. Warehousing demand is accelerating as AI-powered supply chain optimization and e-commerce growth require more last-mile logistics nodes near population centers. AI Opportunity (1/1): AI data center buildout is driving incremental demand for industrial real estate in First Industrial's target MSAs, and the company's logistics tenants increasingly use AI for warehouse optimization, strengthening the value of well-located industrial space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First Industrial Realty Trust Q1 2026 Earnings Release — $194.8M revenue, $1.08 EPS, 8.7% same-store NOI growth, April 22, 2026</w:t>
      </w:r>
    </w:p>
    <w:p>
      <w:pPr>
        <w:spacing w:before="20" w:after="20"/>
        <w:ind w:left="170"/>
      </w:pPr>
      <w:r>
        <w:rPr>
          <w:rFonts w:ascii="Calibri" w:hAnsi="Calibri"/>
          <w:b/>
          <w:color w:val="4A6B25"/>
          <w:sz w:val="15"/>
        </w:rPr>
        <w:t xml:space="preserve">2. </w:t>
      </w:r>
      <w:r>
        <w:rPr>
          <w:rFonts w:ascii="Calibri" w:hAnsi="Calibri"/>
          <w:b w:val="0"/>
          <w:color w:val="3A4A28"/>
          <w:sz w:val="17"/>
        </w:rPr>
        <w:t>First Industrial Realty Trust corporate website, Glassdoor reviews, and management profiles,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Land &amp; Buildings Investment Management shareholder letters regarding First Industrial governance, March-April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FR — key statistics, dividend history,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