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FSCO</w:t>
      </w:r>
      <w:r>
        <w:rPr>
          <w:rFonts w:ascii="Calibri" w:hAnsi="Calibri"/>
          <w:b/>
          <w:color w:val="1A2010"/>
          <w:sz w:val="40"/>
        </w:rPr>
        <w:t xml:space="preserve">  FS Credit Opportunities Corp.</w:t>
      </w:r>
    </w:p>
    <w:p>
      <w:pPr>
        <w:spacing w:after="120"/>
      </w:pPr>
      <w:r>
        <w:rPr>
          <w:rFonts w:ascii="Calibri" w:hAnsi="Calibri"/>
          <w:b/>
          <w:color w:val="6E8450"/>
          <w:sz w:val="18"/>
        </w:rPr>
        <w:t>GROWTH SLEEVE · 2026-04-17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FS Credit Opportunities Corp. is a closed-end fixed income fund launched by Franklin Square Capital Partners and managed by FS Global Advisor, LLC. The fund invests across public and private credit markets globally with a focus on Europe and the United States, targeting non-traditional credit opportunities including secured and unsecured loans, bonds, event-driven credit, special situations, and private capital solutions. The fund has approximately $2.2 billion in assets under management.</w:t>
      </w:r>
    </w:p>
    <w:p>
      <w:r>
        <w:rPr>
          <w:rFonts w:ascii="Calibri" w:hAnsi="Calibri"/>
          <w:b/>
          <w:color w:val="6E8450"/>
          <w:sz w:val="18"/>
        </w:rPr>
        <w:t>https://www.franklinsquare.com/our-funds/fs-global-credit-opportunities-fund/overview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FSCO is a closed-end credit fund, not an operating company — it does not launch products, execute business pivots, or transform its business model. Revenue declined from $263M in 2023 to $164M in 2025, a 38% contraction, and was negative $135M in 2022 reflecting mark-to-market volatility [3]. AI Deployment (0/2): No AI products or AI-driven investment capabilities have been disclosed. The fund employs traditional credit analysis and portfolio management approaches [2]. Market Share (1/2): FSCO manages approximately $2.2B in assets and delivered a 2025 net NAV return of 10.89%, with 3-year NAV total return of 14.3% — double its peer group — indicating competitive performance in the credit CEF space [3]. Pipeline (0/2): No next-generation product pipeline exists; FSCO is a fixed investment vehicle. R&amp;D Intensity (1/1): The fund's focus on event-driven credit, special situations, and private capital solutions represents a differentiated strategy requiring above-average analytical investment relative to passive credit funds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FSCO's purpose is to generate total return through non-traditional credit opportunities — a purely financial objective with no broader societal mission or purpose beyond profit. This is interchangeable with any credit fund's stated goal [2]. Community Impact (0/2): As an investment fund, FSCO has no community programs, charitable initiatives, or employee-facing culture. It provides capital to corporations through credit markets but this is a financial function, not community impact [2]. Employee Retention (1/2): FS Investments, the parent organization led by founder Michael Forman since 2013, has maintained leadership continuity through the fund's renaming and restructuring, suggesting stable management [2]. Insider Buying (1/2): Michael C. Forman has served as Chairman, President, and CEO since inception in 2013, providing leadership alignment. However, limited public data on insider purchases exists for closed-end fund structures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FSCO's infrastructure metrics are severely limited due to its closed-end fund structure. Most standard financial metrics (D/E, ROE, forward P/E, revenue growth) are either unavailable or not meaningful for CEFs [4]. The reported profit margin of 0% reflects accounting treatment of investment income versus operating expenses [4]. Revenue has been volatile — $263M in 2023, $206M in 2024, $164M in 2025, and negative $135M in 2022 — reflecting mark-to-market swings rather than operational growth [3]. Trailing P/E of 6.8x appears cheap but is misleading for a CEF. The fund trades at a significant discount to NAV with a YTD market price return of -19.0% despite a +1.1% NAV return, indicating persistent market skepticism [3]. While the monthly distribution of $0.0583/share produces an annualized yield of 13.4% on market price, the payout ratio of 104.9% exceeds net investment income, raising sustainability concerns [4]. Liquidity at $11.0M daily turnover passes the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FSCO is structurally a finite-game player — it exists to generate quarterly returns for shareholders through credit investing. As a closed-end fund, it has no Just Cause beyond capital appreciation, no organizational culture beyond its management team, and no meaningful competitive dynamic beyond fund performance metrics. The fund plays to win each quarter, which is by design rather than a failure of vision.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FSCO has no Just Cause. The fund exists to generate total return through credit investing — a purely financial objective that serves no broader purpose or vision of a better future [2]. This is not a criticism of the fund's competence but a structural reality: investment vehicles are designed to optimize financial returns, not to advance an infinite cause. Score: 0 points (no Just Cause evident).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FS Investments' leadership under founder Michael Forman since 2013 provides continuity, and the management team has navigated the fund through its 2022 restructuring and renaming [2]. However, as an externally managed CEF, the relationship between the management company and shareholders is inherently transactional — fees are charged regardless of performance. No evidence of exceptional organizational trust or employee empowerment. Score: 1 point (adequate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FSCO's management team referencing competitor funds' strengths as motivation for improvement. The fund's competitive positioning is expressed through performance metrics (3-year NAV return double peer group) rather than through a growth-oriented competitive mindset [3]. Score: 0 points (finite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FSCO has shown minimal strategic flexibility. The fund was restructured and renamed in 2022 from FS Global Credit Opportunities Fund, but this was an administrative change, not a strategic pivot [2]. The investment strategy has remained essentially unchanged since inception. As a closed-end structure, the fund lacks the flexibility to reinvent itself — it must operate within its investment mandate. Score: 0 points (rigid).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leadership decisions. The fund optimizes for quarterly distributions and NAV performance — standard fund management objectives. The 104.9% payout ratio suggests prioritizing current income distribution over long-term capital preservation, which is the opposite of courageous long-term thinking [4]. Score: 0 points (no courageous decisions evident).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FSCO offers an attractive 13.4% annualized distribution yield on market price, backed by a $2.2B credit portfolio that delivered a 10.89% net NAV return in 2025 and a 3-year NAV total return of 14.3% — double its peer group [3]. The fund trades at a significant discount to NAV (YTD market price return of -19.0% vs +1.1% NAV return), creating a potential value opportunity for patient investors who believe the discount will narrow [3]. Monthly distributions of $0.0583/share have been fully covered by net investment income on a tax basis throughout 2026, and the fund's focus on complex credit situations (event-driven, special situations, private capital) provides differentiated exposure [3]. Under Michael Forman's leadership since 2013, the fund has maintained one of the sector's lowest leverage ratios while outperforming peers.</w:t>
      </w:r>
    </w:p>
    <w:p>
      <w:pPr>
        <w:spacing w:after="120"/>
      </w:pPr>
      <w:r>
        <w:rPr>
          <w:rFonts w:ascii="Calibri" w:hAnsi="Calibri"/>
          <w:b w:val="0"/>
          <w:color w:val="3A4A28"/>
          <w:sz w:val="20"/>
        </w:rPr>
        <w:t>The bear case is structural and fundamental. FSCO is a closed-end fund with virtually no measurable financial metrics for IOWN infrastructure scoring — D/E, ROE, forward P/E, revenue growth, and profit margin are all unavailable or zero, producing a mechanical infrastructure score of 0 [4]. Revenue has contracted 38% from $263M in 2023 to $164M in 2025, and was negative in 2022, reflecting the volatility of mark-to-market credit investing [3]. The payout ratio of 104.9% exceeds net investment income, raising distribution sustainability concerns — a dividend cut would devastate the share price for yield-seeking investors [4]. The persistent and widening NAV discount (-19% YTD) signals the market views the portfolio as overvalued or the distribution as unsustainable. As a closed-end fund without operating leverage or competitive moats, FSCO lacks the characteristics IOWN screens for: it has no innovation pipeline, no mission beyond returns, and no path to growing intrinsic value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NAV discount narrowing from the current -19% gap between market price and NAV, which could provide 20%+ upside if the market revalues the portfolio correctly [3]</w:t>
      </w:r>
    </w:p>
    <w:p>
      <w:pPr>
        <w:spacing w:before="40" w:after="40"/>
        <w:ind w:left="283"/>
      </w:pPr>
      <w:r>
        <w:rPr>
          <w:rFonts w:ascii="Calibri" w:hAnsi="Calibri"/>
          <w:b/>
          <w:color w:val="4A6B25"/>
          <w:sz w:val="20"/>
        </w:rPr>
        <w:t xml:space="preserve">2. </w:t>
      </w:r>
      <w:r>
        <w:rPr>
          <w:rFonts w:ascii="Calibri" w:hAnsi="Calibri"/>
          <w:b w:val="0"/>
          <w:color w:val="3A4A28"/>
          <w:sz w:val="20"/>
        </w:rPr>
        <w:t>Potential credit market dislocation creating opportunities for the fund's event-driven and special situations strategy to generate above-average returns [3]</w:t>
      </w:r>
    </w:p>
    <w:p>
      <w:pPr>
        <w:spacing w:before="40" w:after="40"/>
        <w:ind w:left="283"/>
      </w:pPr>
      <w:r>
        <w:rPr>
          <w:rFonts w:ascii="Calibri" w:hAnsi="Calibri"/>
          <w:b/>
          <w:color w:val="4A6B25"/>
          <w:sz w:val="20"/>
        </w:rPr>
        <w:t xml:space="preserve">3. </w:t>
      </w:r>
      <w:r>
        <w:rPr>
          <w:rFonts w:ascii="Calibri" w:hAnsi="Calibri"/>
          <w:b w:val="0"/>
          <w:color w:val="3A4A28"/>
          <w:sz w:val="20"/>
        </w:rPr>
        <w:t>Distribution sustainability confirmation — if the fund maintains the $0.0583 monthly distribution fully covered by net investment income, yield-seeking investors may return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Distribution sustainability — the 104.9% payout ratio exceeds net investment income, and a distribution cut would likely trigger 15-20% downside as yield investors exit [4]</w:t>
      </w:r>
    </w:p>
    <w:p>
      <w:pPr>
        <w:spacing w:before="40" w:after="40"/>
        <w:ind w:left="283"/>
      </w:pPr>
      <w:r>
        <w:rPr>
          <w:rFonts w:ascii="Calibri" w:hAnsi="Calibri"/>
          <w:b/>
          <w:color w:val="4A6B25"/>
          <w:sz w:val="20"/>
        </w:rPr>
        <w:t xml:space="preserve">2. </w:t>
      </w:r>
      <w:r>
        <w:rPr>
          <w:rFonts w:ascii="Calibri" w:hAnsi="Calibri"/>
          <w:b w:val="0"/>
          <w:color w:val="3A4A28"/>
          <w:sz w:val="20"/>
        </w:rPr>
        <w:t>Persistent NAV discount widening — closed-end fund discounts can become self-reinforcing as selling pressure from disappointed investors deepens the discount further [3]</w:t>
      </w:r>
    </w:p>
    <w:p>
      <w:pPr>
        <w:spacing w:before="40" w:after="40"/>
        <w:ind w:left="283"/>
      </w:pPr>
      <w:r>
        <w:rPr>
          <w:rFonts w:ascii="Calibri" w:hAnsi="Calibri"/>
          <w:b/>
          <w:color w:val="4A6B25"/>
          <w:sz w:val="20"/>
        </w:rPr>
        <w:t xml:space="preserve">3. </w:t>
      </w:r>
      <w:r>
        <w:rPr>
          <w:rFonts w:ascii="Calibri" w:hAnsi="Calibri"/>
          <w:b w:val="0"/>
          <w:color w:val="3A4A28"/>
          <w:sz w:val="20"/>
        </w:rPr>
        <w:t>Credit cycle deterioration — a recession would impair the loan and bond portfolio, reducing NAV and potentially forcing the fund to sell assets at distressed prices to fund distributions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FSCO invests in credit instruments across diverse sectors — the physical loans and bonds in its portfolio are not directly substitutable by AI. However, the fund management function itself faces moderate AI disruption risk as AI-powered credit analysis, automated deal sourcing, and algorithmic portfolio management increasingly commoditize the analytical edge that active credit managers rely upon [2]. The competitive moat in alternative credit is narrowing as more managers access AI-driven analytics. The fund's focus on complex situations (distressed debt, event-driven credit) provides some protection, as these require judgment that AI cannot yet fully replicate [3]. AI Opportunity (0/1): No AI-related revenue. FSCO is an investment vehicle, not a technology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Nasdaq — FSCO stock quote, earnings dates, and financial overview,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Morningstar / Fintool — FSCO fund strategy, CEO Michael Forman profile, and management analysis,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CEFData — FSCO NAV returns, distribution coverage, yield analysis, and peer comparison, 2025-2026</w:t>
      </w:r>
    </w:p>
    <w:p>
      <w:pPr>
        <w:spacing w:before="20" w:after="20"/>
        <w:ind w:left="170"/>
      </w:pPr>
      <w:r>
        <w:rPr>
          <w:rFonts w:ascii="Calibri" w:hAnsi="Calibri"/>
          <w:b/>
          <w:color w:val="4A6B25"/>
          <w:sz w:val="15"/>
        </w:rPr>
        <w:t xml:space="preserve">4. </w:t>
      </w:r>
      <w:r>
        <w:rPr>
          <w:rFonts w:ascii="Calibri" w:hAnsi="Calibri"/>
          <w:b w:val="0"/>
          <w:color w:val="3A4A28"/>
          <w:sz w:val="17"/>
        </w:rPr>
        <w:t>yfinance data for FSCO (FS Credit Opportunities Corp.),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