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FSK</w:t>
      </w:r>
      <w:r>
        <w:rPr>
          <w:rFonts w:ascii="Calibri" w:hAnsi="Calibri"/>
          <w:b/>
          <w:color w:val="1A2010"/>
          <w:sz w:val="40"/>
        </w:rPr>
        <w:t xml:space="preserve">  FS KKR Capital Corp.</w:t>
      </w:r>
    </w:p>
    <w:p>
      <w:pPr>
        <w:spacing w:after="120"/>
      </w:pPr>
      <w:r>
        <w:rPr>
          <w:rFonts w:ascii="Calibri" w:hAnsi="Calibri"/>
          <w:b/>
          <w:color w:val="6E8450"/>
          <w:sz w:val="18"/>
        </w:rPr>
        <w:t>DIVIDEND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FS KKR Capital Corp. is a publicly traded business development company (BDC) providing customized credit solutions to private middle market U.S. companies. Externally managed by FS/KKR Advisor LLC (a partnership between FS Investments and KKR), the company invests primarily in senior secured first-lien loans and to a lesser extent second-lien, subordinated debt, and asset-based financing. Total portfolio originated $5.6B in 2025.</w:t>
      </w:r>
    </w:p>
    <w:p>
      <w:r>
        <w:rPr>
          <w:rFonts w:ascii="Calibri" w:hAnsi="Calibri"/>
          <w:b/>
          <w:color w:val="6E8450"/>
          <w:sz w:val="18"/>
        </w:rPr>
        <w:t>https://www.fskkrcapitalcorp.com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FS KKR was formed through the 2018 merger of FS Investment Corp and FS Investment Corp II, consolidating into the largest publicly traded BDC at the time. The company has expanded into asset-based finance (ABF) and private credit beyond traditional middle market lending, originating $5.6B in 2025 including $1.1B in Q4 [1]. AI Deployment (0/2): No evidence of AI-powered products or quantified AI-driven cost savings. As an externally managed BDC, technology investment is handled by the advisor (FS/KKR Advisor LLC), not the fund itself. Market Share (1/2): FS KKR is one of the largest publicly traded BDCs with a $3.0B market cap and extensive KKR sourcing network, providing meaningful deal flow access [1]. Pipeline (1/2): Management guided Q1 2026 GAAP NII to $0.45/share and indicated continued expansion into asset-based finance, but specific pipeline details are limited given the nature of private lending [1]. R&amp;D Intensity (0/1): Not applicable — BDCs do not have R&amp;D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FS KKR's stated purpose is providing 'customized credit solutions to private middle market companies.' This is a description of the business, not a mission — it does not articulate why this matters beyond generating returns. There is no vision of a better future or larger purpose. Community Impact (0/2): No evidence of charitable programs, foundation, or community investment. As an externally managed BDC, the fund structure limits direct community engagement. Employee Retention (1/2): The dual-leadership model combining FS Investments' BDC expertise with KKR's global credit platform provides institutional stability. CEO Forman has led since founding in 2007, and President Pietrzak provides continuity [2]. Insider Buying (2/2): Meaningful net insider buying: CEO Forman purchased 10,000 shares at $15.50 ($155K) in November 2025, President Pietrzak purchased 5,000 shares at $11.25 ($56K) in February 2026 and 10,000 shares at $15.15 ($152K) in November 2025, Director Kropp purchased 1,666 shares, and Director Hopkins purchased 450 shares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 KKR's financial profile reflects a BDC under credit stress. NAV per share fell 5% QoQ to $20.89 from $21.99, with rising nonaccruals signaling portfolio deterioration [1]. D/E of 130.5% is elevated but standard for BDC leverage. ROE of 0.2% (trailing) is extremely weak, reflecting mark-to-market losses on the portfolio. Revenue declined 14.5% YoY. Forward P/E of 6.5x and the 0.51x P/B discount to NAV price in significant risk. Profit margin of 0.7% on trailing basis is near zero. The quarterly dividend was reduced from $0.70 to $0.48 ($0.45 base + $0.03 supplemental), with management indicating 2026 dividend will run closer to 9% of NAV vs. prior 10% target [1]. Payout ratio of 70%, 10+ consecutive years of dividends paid, but 0 years of consecutive growth and negative 5yr dividend CAGR. Liquidity floor easily cleared: 4.0M avg vol x $10.73 = $42.7M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FS KKR shows mixed infinite game signals. The partnership between FS Investments and KKR creates institutional stability, and CEO Forman's tenure since 2007 provides leadership continuity. However, BDCs are inherently income-optimizing vehicles that prioritize quarterly distributions over long-term capability building. The dividend reduction and NAV decline suggest a business responding to near-term credit pressures rather than building for the long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 KKR's purpose is providing capital to private middle market companies — a legitimate economic function but not a Just Cause in Sinek's framework. The company exists to generate income for shareholders through private credit, which is a financial objective rather than a vision of a better future. There is no articulated purpose beyond the investment mandate [2].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dual-management structure with FS Investments and KKR has been stable since the 2018 merger. CEO Forman has led since 2007, President Pietrzak provides continuity, and the KKR credit team brings institutional depth [2]. As an externally managed vehicle, the 'team' is primarily the advisory staff, not direct employees. The advisor relationship creates potential conflicts of interest (management fees regardless of performance).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 KKR competes with Ares Capital (ARCC), Blue Owl (OBDC), and other large BDCs for deal flow and investor capital. No evidence of management referencing competitors' strengths or using rivalry as motivation for self-improvement was found. Competitive language focuses on KKR's differentiated sourcing rather than learning from peers.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traditional middle market lending into asset-based finance (ABF) and the 2018 merger that created the largest public BDC represent meaningful strategic evolution. The shift toward more defensive, first-lien and ABF-oriented portfolio in response to credit cycle concerns shows adaptive management [1]. However, these are incremental moves within the same asset class, not transformative pivots.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transparency in reducing the quarterly dividend from $0.70 to $0.48 and communicating a lower 2026 payout target (~9% of NAV vs 10%), accepting the stock price impact to preserve capital [1]. CEO Forman and President Pietrzak purchasing shares during the NAV decline ($155K and $208K respectively) demonstrates personal conviction. However, the external management structure means leadership profits from fees regardless of shareholder outcomes.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FS KKR Capital is the largest publicly traded BDC backed by KKR's global credit platform, trading at a 49% discount to NAV ($10.73 vs $20.89 NAV) with a 24.55% trailing dividend yield [1][4]. The reduced quarterly distribution of $0.48 ($0.45 base + $0.03 supplemental) still provides a ~9% annualized yield on NAV, supported by Q1 2026 GAAP NII guidance of $0.45/share. KKR's sourcing network originated $5.6B in 2025, with expansion into asset-based finance diversifying revenue streams. Insider buying by CEO Forman ($155K), President Pietrzak ($208K combined), and directors signals management conviction in the recovery. The forward P/E of 6.5x and extreme NAV discount price in significant credit loss expectations that may prove overly pessimistic if the economy avoids recession.</w:t>
      </w:r>
    </w:p>
    <w:p>
      <w:pPr>
        <w:spacing w:after="120"/>
      </w:pPr>
      <w:r>
        <w:rPr>
          <w:rFonts w:ascii="Calibri" w:hAnsi="Calibri"/>
          <w:b w:val="0"/>
          <w:color w:val="3A4A28"/>
          <w:sz w:val="20"/>
        </w:rPr>
        <w:t>The bear case centers on portfolio credit deterioration and structural BDC headwinds. NAV per share fell 5% QoQ to $20.89 with rising nonaccruals, and management guided to a lower 2026 dividend (~9% of NAV vs. prior 10% target), acknowledging 'a tougher credit and earnings backdrop' [1]. Trailing ROE of 0.2% and profit margin of 0.7% reflect near-zero earnings after mark-to-market losses. Revenue declined 14.5% YoY. The external management structure creates a misalignment — FS/KKR Advisor earns fees on assets regardless of shareholder returns, incentivizing portfolio growth over quality. KKR's parent entity faces ESG controversy over gas infrastructure investments (Coastal GasLink pipeline, Cameron LNG terminal) that could create reputational risk for the fund [3]. The 24.55% yield reflects the market's assessment that the dividend may face further cuts if credit losses accelerate, and base interest rate declines would compress NII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stabilization as credit losses normalize, potentially triggering a re-rating from the extreme 49% NAV discount toward historical averages of 10-20% discount [1]</w:t>
      </w:r>
    </w:p>
    <w:p>
      <w:pPr>
        <w:spacing w:before="40" w:after="40"/>
        <w:ind w:left="283"/>
      </w:pPr>
      <w:r>
        <w:rPr>
          <w:rFonts w:ascii="Calibri" w:hAnsi="Calibri"/>
          <w:b/>
          <w:color w:val="4A6B25"/>
          <w:sz w:val="20"/>
        </w:rPr>
        <w:t xml:space="preserve">2. </w:t>
      </w:r>
      <w:r>
        <w:rPr>
          <w:rFonts w:ascii="Calibri" w:hAnsi="Calibri"/>
          <w:b w:val="0"/>
          <w:color w:val="3A4A28"/>
          <w:sz w:val="20"/>
        </w:rPr>
        <w:t>Expansion into asset-based finance (ABF) providing more defensive, collateral-backed income streams that perform better through credit cycles [1]</w:t>
      </w:r>
    </w:p>
    <w:p>
      <w:pPr>
        <w:spacing w:before="40" w:after="40"/>
        <w:ind w:left="283"/>
      </w:pPr>
      <w:r>
        <w:rPr>
          <w:rFonts w:ascii="Calibri" w:hAnsi="Calibri"/>
          <w:b/>
          <w:color w:val="4A6B25"/>
          <w:sz w:val="20"/>
        </w:rPr>
        <w:t xml:space="preserve">3. </w:t>
      </w:r>
      <w:r>
        <w:rPr>
          <w:rFonts w:ascii="Calibri" w:hAnsi="Calibri"/>
          <w:b w:val="0"/>
          <w:color w:val="3A4A28"/>
          <w:sz w:val="20"/>
        </w:rPr>
        <w:t>Base rate environment supporting NII — if rates remain elevated, the floating-rate portfolio generates strong current income to support the $0.48 quarterly distribution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nonaccruals and further NAV deterioration could force additional dividend cuts below the $0.48 quarterly level, triggering investor selling [1]</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fee structure creates misaligned incentives — FS/KKR Advisor profits from asset growth regardless of credit quality or shareholder returns [2]</w:t>
      </w:r>
    </w:p>
    <w:p>
      <w:pPr>
        <w:spacing w:before="40" w:after="40"/>
        <w:ind w:left="283"/>
      </w:pPr>
      <w:r>
        <w:rPr>
          <w:rFonts w:ascii="Calibri" w:hAnsi="Calibri"/>
          <w:b/>
          <w:color w:val="4A6B25"/>
          <w:sz w:val="20"/>
        </w:rPr>
        <w:t xml:space="preserve">3. </w:t>
      </w:r>
      <w:r>
        <w:rPr>
          <w:rFonts w:ascii="Calibri" w:hAnsi="Calibri"/>
          <w:b w:val="0"/>
          <w:color w:val="3A4A28"/>
          <w:sz w:val="20"/>
        </w:rPr>
        <w:t>Interest rate cuts compressing net investment income across the primarily floating-rate portfolio, reducing distributable earnings below dividend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BDC lending to middle market companies involves complex credit underwriting, relationship-based deal sourcing, and bespoke structuring that AI cannot easily replicate. The KKR platform provides proprietary deal flow through human relationships with sponsors, management teams, and advisors that represent durable competitive advantages [1]. Private credit markets are growing partly because AI companies need financing for expansion, making FS KKR an indirect beneficiary. However, AI could improve credit analysis and portfolio monitoring for competitors, eroding any information advantage. AI Opportunity (0/1): No AI-generated revenue. FS KKR is an externally managed investment vehicle, not a technology company — AI is not a product opportunity for this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FS KKR Capital Q4 2025 Earnings Call — $5.6B originations, NAV decline to $20.89, dividend reduction to $0.48, Q1 2026 NII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FS KKR Capital corporate website — Meet the Team, investment philosophy, dual-management structure,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KKR ESG controversy — Coastal GasLink pipeline, Cameron LNG environmental violations, PE Climate Risks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FSK (FS KKR Capital),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