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FSLR</w:t>
      </w:r>
      <w:r>
        <w:rPr>
          <w:rFonts w:ascii="Calibri" w:hAnsi="Calibri"/>
          <w:b/>
          <w:color w:val="1A2010"/>
          <w:sz w:val="40"/>
        </w:rPr>
        <w:t xml:space="preserve">  First Solar,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59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Solar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First Solar is the largest U.S.-based solar module manufacturer and the global leader in thin-film cadmium telluride (CdTe) photovoltaic technology. The company sells utility-scale solar modules, benefits from Section 45X manufacturing tax credits, and is investing in perovskite-CdTe tandems for next-generation efficiency gains.</w:t>
      </w:r>
    </w:p>
    <w:p>
      <w:r>
        <w:rPr>
          <w:rFonts w:ascii="Calibri" w:hAnsi="Calibri"/>
          <w:b/>
          <w:color w:val="6E8450"/>
          <w:sz w:val="18"/>
        </w:rPr>
        <w:t>7,200 Employees · https://www.firstsolar.com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FSLR delivered 2025 revenue of $5.2B and 16.1 GW of production with record module shipments, and forecasts 2026 revenue of $4.9-$5.2B with adjusted EBITDA of $2.6-$2.8B [1]. AI Deployment (1/2): First Solar is positioning CdTe as 'a strategic asset in an era of AI-driven power demand' and uses AI internally for solar forecasting and manufacturing yield, but no product-level AI revenue disclosed [2]. Market Share (2/2): FSLR is the largest U.S.-based solar manufacturer and the dominant global player in thin-film CdTe, capturing a disproportionate share of U.S. utility-scale contracts due to Section 45X credits and geopolitical preference for non-China supply [1][2]. Pipeline (2/2): Perovskite-CdTe tandems at the Ohio R&amp;D center targeting efficiency above 25% and new U.S. capacity expansions in Alabama and Louisiana provide specific, dated pipeline visibility [2]. R&amp;D Intensity (0/1): R&amp;D spending is solid but not top-quartile for the sector vs. pure-play semi/cell innovators.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First Solar's mission is 'creating enduring value by enabling a world powered by clean, affordable solar electricity' — specific, thoughtful, and traceable to strategic decisions (exclusive CdTe technology, U.S. manufacturing concentration, Responsible Solar transparency reporting) [2][3]. Community Impact (2/2): Industry-leading 'Responsible Solar' framework with validated third-party social audits disclosing specific shortcomings at Malaysian service providers, documented low-carbon manufacturing, and active recycling programs for end-of-life modules [3]. Employee Retention (1/2): 75% of Glassdoor reviewers would recommend working there, leadership score 74/100 on Comparably, but employees cite 'silos and us-vs-them mentality' and recent layoffs in Europe; mixed but above-average [2]. Insider Buying (1/2): Long-tenured CEO Mark Widmar (CEO since July 2016) has meaningful equity exposure; no standout recent net buying data was surfaced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2025 revenue of $5.2B with strong earnings growth; 2026 guidance of $4.9-$5.2B revenue and $2.6-$2.8B adjusted EBITDA imply ~55% EBITDA margins, driven materially by Section 45X IRA manufacturing tax credits [1]. Analysts expect 2026 EPS of $17.40 (+22.5% vs. $14.21 in 2025) [1]. Balance sheet carries net cash, low leverage, and strong free cash generation. Forward P/E is reasonable for a differentiated manufacturer with policy tailwinds. Liquidity floor easily cleared. yfinance was unavailable; metrics below are from consensus estimates and public filings.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First Solar plays a genuinely infinite game — the Just Cause of clean electricity is transformative and validated by 25+ years of consistent CdTe investment when silicon was the 'winning' technology. Long-tenured CEO and the Responsible Solar framework add infinite-game credibility. The MIXED rating rather than INFINITE reflects policy dependence (45X credits) and ongoing capacity-utilization decisions that show some short-term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'A world powered by clean, affordable solar electricity' is specific, service-oriented, idealistic, and big — a legitimate Just Cause [2][3]. Strategic decisions (CdTe bet when silicon was winning, U.S. manufacturing concentration pre-IRA, transparency reporting) trace back to it. Partially lived; not yet at the multi-decade 'validated through crisis' mark of NVDA.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75% would recommend working at FSLR, B+ leadership grade and 74/100 leadership score [2], but recurring themes of siloed culture, 'us vs them' between EPC and Project Development, and recent European layoffs keep this at 'adequate' rather than exceptional trust. Long CEO tenure helps.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FSLR's competitive language frames Chinese silicon manufacturers as both opportunity and threat to be overcome through trade policy rather than worthy rivals to learn from [1][2]. Limited evidence of management explicitly learning from competitor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First Solar's entire 25-year history is an existential flexibility story: it bet the company on CdTe thin-film when silicon had overwhelming cost and efficiency advantages, survived a near-collapse in 2011-2012 by exiting subsidized European markets, and has reinvented manufacturing footprint twice (Malaysia, then U.S. concentration) as geopolitics changed [2][3]. Now pivoting to perovskite-CdTe tandems. Textbook infinite-game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deliberately underutilize Southeast Asian facilities to 20% capacity in 2026 rather than dump product into a low-price global market is a clear courageous call protecting long-term pricing discipline over short-term revenue [3]. Sustained decades-long CdTe investment when silicon dominated is a pattern of courageous long-term capital allocation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First Solar is the best-positioned pure-play solar manufacturer in the world — 2025 revenue of $5.2B on 16.1 GW of production, and 2026 guidance of $4.9-$5.2B revenue with $2.6-$2.8B adjusted EBITDA (~55% margins) supported by Section 45X IRA manufacturing tax credits [1]. Analysts expect 2026 EPS of $17.40 (+22.5% YoY from $14.21 in 2025). The company is a primary beneficiary of AI-driven power demand as hyperscalers sign large-scale solar PPAs, and its CdTe thin-film technology is geopolitically preferred over China-linked silicon [2]. The Inspire Insight score of +59 (ALIGNED) with 17 positive attributions and zero negatives makes FSLR one of the most faith-aligned names in the IOWN universe. Long-tenured CEO Mark Widmar (since 2016), the Responsible Solar framework, and perovskite-CdTe tandem R&amp;D pipeline strengthen the multi-year thesis [2][3].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policy dependence, international capacity underutilization, and tariff/pricing volatility. 2026 guidance relies materially on Section 45X credits and any modification to IRA manufacturing incentives would compress margins significantly [1]. Management's decision to run Southeast Asian facilities at only 20% utilization in 2026 reflects a global solar glut that could pressure pricing into 2027 [3]. Backlog reductions, tariff-driven margin pressure, and elevated warehousing costs are explicitly flagged as 2026 headwinds [1]. The 2026 revenue guidance ($4.9-$5.2B) implies flat-to-down growth vs. 2025's $5.2B, and analyst consensus had been higher ($6.09-$6.12B), driving downgrades and stock volatility [1][3]. Glassdoor reviews cite siloed culture and prior European layoffs, and CdTe theoretical efficiency remains lower than the most advanced silicon cells — a technology-disruption risk if perovskite-CdTe tandems do not deliver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data center PPA signings and structural U.S. utility-scale solar demand driving backlog refill at attractive ASPs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Perovskite-CdTe tandem technology validation pushing module efficiency above 25% and locking in next-generation cost leadership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Section 45X IRA manufacturing tax credits continuing to deliver ~$2.6-$2.8B of 2026 adjusted EBITDA and compounding cash returns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Policy modification to Section 45X or broader IRA manufacturing incentives materially compressing margins and free cash flow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global solar module pricing pressure forcing further underutilization of Southeast Asian facilities beyond the 20% 2026 plan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Technology disruption risk if perovskite-silicon tandems from rivals close the efficiency gap before FSLR's perovskite-CdTe tandems commercialize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First Solar IS critical AI infrastructure — hyperscale data centers require massive new electricity, and utility-scale solar plus storage is one of the fastest and cheapest ways to add new baseload-adjacent power to the grid. FSLR has been explicitly positioned as 'the AI-driven energy powerhouse of 2026' with CdTe modules increasingly tied to data-center PPAs [2]. AI cannot substitute physical photovoltaic generation. Analysts view AI as a structural tailwind, not a risk [2]. AI Opportunity (0/1): First Solar does not generate a disclosed AI product revenue line; AI is an operational tool, and AI-driven load growth is demand-side tailwind rather than AI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First Solar 2025 full-year results ($5.2B revenue, 16.1 GW production) and 2026 guidance ($4.9-$5.2B revenue, $2.6-$2.8B adjusted EBITDA, EPS $17.40), via GreentechLead and Barchart,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First Solar leadership (CEO Mark Widmar since July 2016), Glassdoor and Comparably culture data, perovskite-CdTe R&amp;D, and AI-driven power demand commentary,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First Solar Sustainability/Responsible Solar reports, Sustainalytics ESG rating, Southeast Asia 20% utilization decision, and social audit transparency,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Impact Score data from data/inspire_insight_scores.csv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