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FSM</w:t>
      </w:r>
      <w:r>
        <w:rPr>
          <w:rFonts w:ascii="Calibri" w:hAnsi="Calibri"/>
          <w:b/>
          <w:color w:val="1A2010"/>
          <w:sz w:val="40"/>
        </w:rPr>
        <w:t xml:space="preserve">  Fortuna Mining Corp.</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Fortuna Mining Corp. (formerly Fortuna Silver Mines) is a Canadian precious metals mining company operating gold and silver mines across Argentina, Burkina Faso, Cote d'Ivoire, Mexico, and Peru. Key assets include the Lindero, Yaramoko, and Seguéla gold mines, the San Jose silver-gold mine, and the Caylloma polymetallic mine. The company is developing the Diamba Sud gold project in Senegal.</w:t>
      </w:r>
    </w:p>
    <w:p>
      <w:r>
        <w:rPr>
          <w:rFonts w:ascii="Calibri" w:hAnsi="Calibri"/>
          <w:b/>
          <w:color w:val="6E8450"/>
          <w:sz w:val="18"/>
        </w:rPr>
        <w:t>5,099 Employees · https://www.fortunamining.com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Fortuna executed a significant transformation by acquiring the Séguéla gold mine in Côte d'Ivoire, expanding mineral reserves there by 31%, and completing the strategic sale of Yaramoko to optimize its portfolio [1]. The name change from Fortuna Silver Mines to Fortuna Mining Corp. in June 2024 reflects a successful pivot from silver-focused to gold-dominant producer. AI Deployment (0/2): No evidence of AI-powered products or quantified AI-driven efficiency gains in mining operations [2]. Market Share (1/2): Fortuna is a mid-tier gold producer, not a category leader — production is modest compared to Agnico Eagle, Barrick, and Newmont. Jim Cramer specifically recommended Agnico Eagle over Fortuna [2]. Pipeline (2/2): The $100M Diamba Sud development budget for 2026 (including $67M early works) provides clear next-gen project visibility, with management stating target ounces are 'already contained within mineral inventory' across advanced projects [1]. R&amp;D Intensity (0/1): Mining companies do not typically invest in R&amp;D as a percentage of revenue; Fortuna's innovation is expressed through exploration and development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Fortuna states it is 'committed to responsible mining and creating shared value for all stakeholders,' which is clear and identifies purpose beyond profit but is not distinctive among mining peers [3]. Community Impact (2/2): Fortuna invested $9.2M in community development programs in 2024, employed 41% of its workforce from local communities, and contributed $103M in government payments with zero significant community grievances [3]. Employee Retention (1/2): CEO Jorge Ganoza co-founded the company in 2004 and receives top-15% CEO approval on Comparably, with an A-rated executive team [2]. The company implemented a Korn Ferry competency-based talent management model. However, employees rate coworker quality as D on Comparably, suggesting mixed organizational health. Insider Buying (0/2): Recent insider activity shows stock awards to executives (Ganoza 130,385 shares, Baudrand 31,600 shares in March 2026) but no evidence of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Fortuna's financial profile is exceptional across every measurable dimension. D/E of 12.2% reflects near-zero leverage with a clean balance sheet [4]. ROE of 18.0% exceeds the 15% target, and profit margin of 30.4% demonstrates pricing power amplified by $4,166/oz realized gold prices in Q4 2025 [1]. Revenue surged 38.4% YoY to $947M with an estimated 5yr CAGR of ~25%, driven by the Séguéla ramp-up and gold price tailwinds [1]. Forward P/E of 5.5x on forward EPS of $1.74 implies extreme cheapness — an implied PEG well below 1.0. The company generated record $330M annual and $132.3M quarterly free cash flow, ending 2025 with $704M total liquidity [1]. Gross margin of 53.0% and EBIT margin of 64.2% are outstanding. Liquidity floor easily cleared: $77.8M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Fortuna Mining demonstrates mixed infinite game characteristics. Co-founder CEO Jorge Ganoza's 22-year tenure provides leadership continuity and long-term orientation, and the company's geographic diversification across Latin America and West Africa shows strategic foresight. However, the gold mining business is inherently extractive with finite mine lives, and Fortuna's competitive language focuses on production growth and cost optimization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Fortuna's commitment to 'responsible mining and shared value creation' is more than marketing — the company backs it with $9.2M in community development, 41% local workforce hiring, zero significant community grievances, and 30% of executive compensation tied to ESG performance [3]. This cause has been sustained through the company's evolution from silver to gold mining across multiple geographies. However, it lacks the transformative, decades-validated quality of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Ganoza's top-15% approval rating and the A-rated executive team on Comparably suggest adequate organizational trust [2]. The Korn Ferry talent management implementation and Director of Innovation and Operational Excellence role show investment in people development. However, the D-rated coworker quality on Comparably raises questions about mid-level organizational health, and the company's multi-country operations across Latin America and West Africa create cultural complexity.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Fortuna's competitive positioning focuses on production growth, cost reduction, and portfolio optimization rather than learning from rivals [1]. Management does not reference competitor strengths in earnings calls; the narrative is about Fortuna's own assets, costs, and exploration pipeline. Jim Cramer recommending Agnico Eagle over Fortuna highlights the competitive gap that management does not explicitly acknowledge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Fortuna demonstrated meaningful strategic evolution by pivoting from a silver-focused Latin American miner to a gold-dominant multi-continental producer, culminating in the June 2024 name change [1]. The Séguéla acquisition in Côte d'Ivoire, Yaramoko divestiture, and Diamba Sud development in Senegal show willingness to reshape the portfolio. These are incremental rather than transformative pivots, but they demonstrate flexibility within the mining sector.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Ganoza approved the $100M Diamba Sud budget during a period of high gold prices rather than hoarding cash for shareholder returns, demonstrating willingness to invest for long-term growth [1]. The decision to divest Yaramoko (a producing mine) and San Jose (the namesake silver mine) to focus capital on higher-return assets required conviction. However, these decisions are financially logical rather than counter-consensus or costly.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Fortuna Mining is a gold-dominant mid-tier producer delivering exceptional financial results at a deeply discounted valuation. Revenue surged 38.4% to $947M in 2025 with net income soaring 119% to $311.6M, driven by $4,166/oz realized gold prices and the Séguéla ramp-up [1]. Record free cash flow of $330M annually and $704M total liquidity provide a substantial war chest for the $100M Diamba Sud development and further portfolio optimization [1]. At 5.5x forward P/E with 30%+ profit margins, 18% ROE, and minimal leverage (D/E 12%), Fortuna is among the cheapest quality gold miners in the market. Séguéla reserves expanded 31%, extending mine life and production visibility. Scotiabank upgraded to Strong Buy, BMO raised its target to C$17, and CIBC upgraded to Neutral [1].</w:t>
      </w:r>
    </w:p>
    <w:p>
      <w:pPr>
        <w:spacing w:after="120"/>
      </w:pPr>
      <w:r>
        <w:rPr>
          <w:rFonts w:ascii="Calibri" w:hAnsi="Calibri"/>
          <w:b w:val="0"/>
          <w:color w:val="3A4A28"/>
          <w:sz w:val="20"/>
        </w:rPr>
        <w:t>The bear case centers on commodity price dependence and geopolitical risk. Fortuna's outstanding results are primarily driven by a $1,500/oz year-over-year increase in gold prices — if gold retraces from current levels, margins and earnings would compress sharply [1]. Operating in Burkina Faso (military government, jihadist insurgency), Côte d'Ivoire, and Senegal exposes the company to significant West African political risk, and the Yaramoko sale was partly motivated by deteriorating security conditions. Cash costs increased 5% to $971/oz in Q4, and cost inflation in labor and energy could erode margins even at high gold prices [1]. The $9.51 share price is 14% below its 50-day SMA of $11.01, reflecting recent selling pressure. Mine lives are finite — the San Jose and Yaramoko divestitures highlight the constant need to replace depleting reserves. The D-rated coworker quality on Comparably suggests potential organizational issues that could affect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Diamba Sud gold project development — $100M 2026 budget including $67M early works positions this as Fortuna's next major producing asset with ounces already in mineral inventory [1]</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strength — every $100/oz increase in realized gold prices adds approximately $30-40M to annual free cash flow given current production levels [1]</w:t>
      </w:r>
    </w:p>
    <w:p>
      <w:pPr>
        <w:spacing w:before="40" w:after="40"/>
        <w:ind w:left="283"/>
      </w:pPr>
      <w:r>
        <w:rPr>
          <w:rFonts w:ascii="Calibri" w:hAnsi="Calibri"/>
          <w:b/>
          <w:color w:val="4A6B25"/>
          <w:sz w:val="20"/>
        </w:rPr>
        <w:t xml:space="preserve">3. </w:t>
      </w:r>
      <w:r>
        <w:rPr>
          <w:rFonts w:ascii="Calibri" w:hAnsi="Calibri"/>
          <w:b w:val="0"/>
          <w:color w:val="3A4A28"/>
          <w:sz w:val="20"/>
        </w:rPr>
        <w:t>Séguéla reserve expansion — 31% reserve increase extends mine life and could support production growth beyond current guidance, driving analyst upgrades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reversal — Fortuna's 38.4% revenue growth and 30%+ margins are primarily driven by $4,166/oz realized gold prices; a return to $2,500/oz would cut earnings by more than half [1]</w:t>
      </w:r>
    </w:p>
    <w:p>
      <w:pPr>
        <w:spacing w:before="40" w:after="40"/>
        <w:ind w:left="283"/>
      </w:pPr>
      <w:r>
        <w:rPr>
          <w:rFonts w:ascii="Calibri" w:hAnsi="Calibri"/>
          <w:b/>
          <w:color w:val="4A6B25"/>
          <w:sz w:val="20"/>
        </w:rPr>
        <w:t xml:space="preserve">2. </w:t>
      </w:r>
      <w:r>
        <w:rPr>
          <w:rFonts w:ascii="Calibri" w:hAnsi="Calibri"/>
          <w:b w:val="0"/>
          <w:color w:val="3A4A28"/>
          <w:sz w:val="20"/>
        </w:rPr>
        <w:t>West African geopolitical risk — operations in Burkina Faso (military coup government), Côte d'Ivoire, and Senegal expose the company to political instability, resource nationalism, and security threats [3]</w:t>
      </w:r>
    </w:p>
    <w:p>
      <w:pPr>
        <w:spacing w:before="40" w:after="40"/>
        <w:ind w:left="283"/>
      </w:pPr>
      <w:r>
        <w:rPr>
          <w:rFonts w:ascii="Calibri" w:hAnsi="Calibri"/>
          <w:b/>
          <w:color w:val="4A6B25"/>
          <w:sz w:val="20"/>
        </w:rPr>
        <w:t xml:space="preserve">3. </w:t>
      </w:r>
      <w:r>
        <w:rPr>
          <w:rFonts w:ascii="Calibri" w:hAnsi="Calibri"/>
          <w:b w:val="0"/>
          <w:color w:val="3A4A28"/>
          <w:sz w:val="20"/>
        </w:rPr>
        <w:t>Reserve depletion — finite mine lives require continuous exploration success and capital investment; failure to replace Yaramoko and San Jose production could lead to declining output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entirely physical — extracting ore from underground and open-pit mines, processing it through mills and leach pads, and managing tailings requires massive capital infrastructure, geological expertise, and on-the-ground operations that AI cannot substitute [2]. The business is driven by commodity prices, ore grades, and operational execution, not information processing. Regulatory permitting across five countries (Argentina, Burkina Faso, Côte d'Ivoire, Mexico, Peru) adds human-intensive complexity. No analysts have flagged AI as a disruption risk for Fortuna or the precious metals mining sector. AI Opportunity (0/1): Fortuna does not generate AI-related revenue and has not disclosed meaningful AI deployment in operations beyond standard mining industry automation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Fortuna Mining Q4 2025 Earnings Release — $947M revenue, $311.6M net income, $330M free cash flow, $704M liquidity, Diamba Sud $100M budget,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Fortuna Mining Leadership and Culture — CEO Ganoza top-15% approval, Comparably A-rated exec team, Korn Ferry talent model, AI/innovation assessment, March 2026</w:t>
      </w:r>
    </w:p>
    <w:p>
      <w:pPr>
        <w:spacing w:before="20" w:after="20"/>
        <w:ind w:left="170"/>
      </w:pPr>
      <w:r>
        <w:rPr>
          <w:rFonts w:ascii="Calibri" w:hAnsi="Calibri"/>
          <w:b/>
          <w:color w:val="4A6B25"/>
          <w:sz w:val="15"/>
        </w:rPr>
        <w:t xml:space="preserve">3. </w:t>
      </w:r>
      <w:r>
        <w:rPr>
          <w:rFonts w:ascii="Calibri" w:hAnsi="Calibri"/>
          <w:b w:val="0"/>
          <w:color w:val="3A4A28"/>
          <w:sz w:val="17"/>
        </w:rPr>
        <w:t>Fortuna Mining 2024 Sustainability Report — $9.2M community investment, $103M government payments, 41% local workforce, ESG governance framework, Sustainalytics Strong rating,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FSM, insider transactions, financial metrics,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