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FTI</w:t>
      </w:r>
      <w:r>
        <w:rPr>
          <w:rFonts w:ascii="Calibri" w:hAnsi="Calibri"/>
          <w:b/>
          <w:color w:val="1A2010"/>
          <w:sz w:val="40"/>
        </w:rPr>
        <w:t xml:space="preserve">  TechnipFMC plc</w:t>
      </w:r>
    </w:p>
    <w:p>
      <w:pPr>
        <w:spacing w:after="120"/>
      </w:pPr>
      <w:r>
        <w:rPr>
          <w:rFonts w:ascii="Calibri" w:hAnsi="Calibri"/>
          <w:b/>
          <w:color w:val="6E8450"/>
          <w:sz w:val="18"/>
        </w:rPr>
        <w:t>GROWTH SLEEVE · 2026-04-01 · Inspire: 66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Kingdom</w:t>
      </w:r>
    </w:p>
    <w:p>
      <w:pPr>
        <w:spacing w:after="80"/>
      </w:pPr>
      <w:r>
        <w:rPr>
          <w:rFonts w:ascii="Calibri" w:hAnsi="Calibri"/>
          <w:b w:val="0"/>
          <w:color w:val="3A4A28"/>
          <w:sz w:val="20"/>
        </w:rPr>
        <w:t>TechnipFMC is the largest provider of offshore oilfield services, offering integrated deep-water subsea development solutions spanning subsea equipment design, engineering, procurement, manufacturing, fabrication, installation, and life-of-field services. The company also provides surface technologies for land and shallow water exploration and production. Formed from the 2017 merger of Technip and FMC Technologies, TechnipFMC operates globally with approximately 22,000 employees.</w:t>
      </w:r>
    </w:p>
    <w:p>
      <w:r>
        <w:rPr>
          <w:rFonts w:ascii="Calibri" w:hAnsi="Calibri"/>
          <w:b/>
          <w:color w:val="6E8450"/>
          <w:sz w:val="18"/>
        </w:rPr>
        <w:t>21,975 Employees · https://www.technipfmc.com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TechnipFMC has successfully executed a post-merger transformation since 2017, building the integrated EPCI (iEPCI) model that has become the industry standard for subsea project delivery [1]. Revenue grew 48% from $6.7B (2022) to $9.9B (2025), with Q4 2025 adjusted EPS of $0.70 beating estimates of $0.51 by 37%, demonstrating sustained execution improvement. Subsea margins expanded to 20.1% in 2025 with guidance raised to 21-22% for 2026 — potentially the highest sustained Subsea margin in the company's history [1]. AI Deployment (0/2): No evidence of AI-powered products with measurable results was identified. TechnipFMC operates a Subsea Studio digital platform, but no specific AI revenue or quantified AI-driven savings were disclosed [2]. Market Share (2/2): TechnipFMC is the largest provider of offshore subsea oilfield services globally, with direct awards, iEPCI, and Subsea services accounting for over 80% of total Subsea inbound in 2025 [1]. Pipeline (2/2): Record year-end backlog of $16.6B with $11.2B total inbound in 2025, a 24-month opportunity list at a record ~$29B, and management expects $10B of Subsea inbound in 2026 with further backlog growth into 2027 [1]. R&amp;D Intensity (1/1): Dedicated CTO (Justin Rounce) leading R&amp;D, long-term strategy, and technology engagement, with iEPCI and Subsea processing systems representing above-average innovation investment for the oilfield services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TechnipFMC's employer value proposition 'The energy to transform' connects the company's work to the broader energy transition narrative, with stated pillars of 'relentless innovation' and 'caring for the future' [2]. This is clear and relevant but not deeply transformative — the company remains primarily an oil and gas services provider despite energy transition messaging. Community Impact (1/2): TechnipFMC maintains an ESG Committee with board oversight, formalized ESG scorecards since 2020, and CEO Pferdehirt serves on the American Heart Association and American Petroleum Institute boards [2][3]. The company engaged shareholders representing 16% of outstanding shares on ESG priorities. However, specific charitable giving amounts or distinctive community programs were not identified. Employee Retention (1/2): CEO Doug Pferdehirt has led the company since the 2017 merger with over 26 years of prior Schlumberger experience, providing leadership continuity [2]. The company employs approximately 22,000 people with a stated 'culture of execution excellence,' but no exceptional retention data was found. Insider Buying (0/2): Only insider selling was identified — EVP Justin Rounce sold 172,276 shares for $10.7M in March 2026, and Director Sophie Zurquiyah Rousset sold 6,350 shares for $440K [4]. No insider buying reported in recent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TechnipFMC's financial profile is strong, anchored by a conservative balance sheet and improving profitability. Revenue of $9.9B (up 9.4% YoY) with ROE of 29.6% and D/E of just 39.4% demonstrate capital efficiency and prudent leverage [1][5]. Forward P/E of 20.1x is reasonable for a company with a $16.6B backlog providing multi-year revenue visibility and margin expansion trajectory to 21-22% Subsea EBITDA margins [1]. Revenue 3-year CAGR of approximately 14.0% (2022-2025: $6.7B to $9.9B) reflects the post-merger growth acceleration. Profit margin of 9.7% is the primary weakness, typical for capital-intensive oilfield services but below the 20% target for full marks. Free cash flow guidance of $1.3-1.45B for 2026 with 70% return to shareholders ($910M-$1.015B) demonstrates strong cash generation [1]. PEG ratio unavailable, excluded from calculation. Liquidity floor easily cleared: 4.1M avg vol x $70.21 = $287M daily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TechnipFMC under CEO Doug Pferdehirt has executed a successful post-merger integration and built the industry's leading integrated subsea platform, but the company's fundamental orientation is toward optimizing near-term capital returns (70% FCF to shareholders) and winning backlog rather than pursuing a purpose beyond profit. The energy transition messaging ('The energy to transform') feels more aspirational than validated, as the overwhelming majority of revenue comes from oil and gas subsea development rather than low-carbon energy infrastructure.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TechnipFMC's stated purpose 'The energy to transform' aspires to connect the company to the energy transition, with pillars of 'relentless innovation' and 'caring for the future' [2]. However, Sinek would observe that the company's actual strategic actions — winning $11.2B in oil and gas subsea orders and targeting $10B more in 2026 — are about serving fossil fuel extraction, not transforming the energy system. The cause exists but is not validated by strategic decisions that sacrifice near-term oil and gas revenue for long-term energy transition capability. This earns 1/3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TechnipFMC's 'culture of execution excellence' under CEO Pferdehirt's leadership since the 2017 merger has produced consistent operational improvement — Subsea margins expanding from mid-teens to 20%+ demonstrates organizational alignment and capability [1]. The company employs approximately 22,000 people with a dedicated CTO function and ESG committee structure. However, no evidence of exceptional trust, empowerment, or cultural distinctiveness was found beyond standard corporate governance, earning 1/2 weighted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TechnipFMC's competitive language emphasizes market leadership and backlog growth rather than learning from rivals. The company positions itself as the largest offshore subsea provider and highlights its integrated platform advantages over competitors like Subsea7 and SLB [1]. No management commentary was found acknowledging competitors' strengths or using rivalry as motivation to improve — the focus is on winning market share through the iEPCI model rather than infinite-minded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2017 merger of Technip and FMC Technologies was itself a transformative strategic pivot, combining a subsea construction company with a subsea equipment manufacturer to create an integrated EPCI platform [1]. This merger fundamentally changed the company's business model and competitive position. The subsequent development of iEPCI as the industry standard represents meaningful evolution. However, the company has not demonstrated willingness to move beyond oil and gas toward the energy transition it claims to champion, earning 1/2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Pferdehirt's decision to pursue and execute the Technip-FMC merger in 2017, then subsequently spin off Technip Energies in 2021 to focus on subsea, demonstrates strategic courage — these were bet-the-company decisions that carried significant execution risk [2]. The commitment to return 70% of FCF to shareholders while maintaining growth capex of ~$340M shows balanced capital allocation. However, the company has not made visibly costly decisions that sacrificed near-term earnings for long-term capability or purpose, earning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TechnipFMC is the dominant integrated subsea platform with a record $16.6B backlog and $29B 24-month opportunity pipeline providing exceptional multi-year revenue visibility [1]. FY2025 revenue of $9.9B (up 9.4% YoY) with Subsea margins expanding to 20.1% and guidance raised to 21-22% for 2026 represents a structural margin inflection that could be the highest sustained Subsea margin in the company's history [1]. Adjusted free cash flow of $1.3-1.45B for 2026 with 70% return to shareholders and a low 39.4% D/E ratio creates a compelling capital return story. The iEPCI model — where TechnipFMC provides full subsea field development from design through installation — has become the industry standard, with direct awards and iEPCI representing over 80% of Subsea inbound [1]. At 20.1x forward P/E, the stock is reasonably valued for a market leader with double-digit revenue CAGR and expanding margins. Susquehanna raised its price target to $82, citing robust offshore outlook through the decade [4].</w:t>
      </w:r>
    </w:p>
    <w:p>
      <w:pPr>
        <w:spacing w:after="120"/>
      </w:pPr>
      <w:r>
        <w:rPr>
          <w:rFonts w:ascii="Calibri" w:hAnsi="Calibri"/>
          <w:b w:val="0"/>
          <w:color w:val="3A4A28"/>
          <w:sz w:val="20"/>
        </w:rPr>
        <w:t>The bear case centers on cyclical exposure and valuation. TechnipFMC's revenue is ultimately tied to offshore oil and gas capital expenditure, which is cyclical and dependent on commodity prices — a sustained oil price decline below $60/bbl would slow subsea project sanctioning and pressure the $29B opportunity pipeline [1]. Revenue growth decelerated from 16.1% (2024) to 9.4% (2025), and profit margin of 9.7% is thin compared to asset-light business models, leaving limited room for error if cost overruns occur on the $16.6B backlog. The 30.5x trailing P/E is elevated for a cyclical industrial company, creating downside risk if offshore spending peaks. Insider selling has been exclusively one-directional — EVP Rounce's $10.7M sale and Director Rousset's $440K sale in March 2026 without any offsetting insider buying creates a cautious signal [4]. Energy transition risk looms over the long-term thesis: as the world shifts toward renewable energy, the addressable market for new offshore oil and gas development could structurally decline over the next decade, though near-term demand remains robust.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Subsea margin expansion to 21-22% in 2026 — potentially the highest sustained Subsea margin in company history — driven by iEPCI execution, cycle time reduction, and delivery certainty improvements [1]</w:t>
      </w:r>
    </w:p>
    <w:p>
      <w:pPr>
        <w:spacing w:before="40" w:after="40"/>
        <w:ind w:left="283"/>
      </w:pPr>
      <w:r>
        <w:rPr>
          <w:rFonts w:ascii="Calibri" w:hAnsi="Calibri"/>
          <w:b/>
          <w:color w:val="4A6B25"/>
          <w:sz w:val="20"/>
        </w:rPr>
        <w:t xml:space="preserve">2. </w:t>
      </w:r>
      <w:r>
        <w:rPr>
          <w:rFonts w:ascii="Calibri" w:hAnsi="Calibri"/>
          <w:b w:val="0"/>
          <w:color w:val="3A4A28"/>
          <w:sz w:val="20"/>
        </w:rPr>
        <w:t>Record $29B 24-month opportunity pipeline with $10B expected Subsea inbound in 2026, providing backlog growth visibility through 2027 and beyond [1]</w:t>
      </w:r>
    </w:p>
    <w:p>
      <w:pPr>
        <w:spacing w:before="40" w:after="40"/>
        <w:ind w:left="283"/>
      </w:pPr>
      <w:r>
        <w:rPr>
          <w:rFonts w:ascii="Calibri" w:hAnsi="Calibri"/>
          <w:b/>
          <w:color w:val="4A6B25"/>
          <w:sz w:val="20"/>
        </w:rPr>
        <w:t xml:space="preserve">3. </w:t>
      </w:r>
      <w:r>
        <w:rPr>
          <w:rFonts w:ascii="Calibri" w:hAnsi="Calibri"/>
          <w:b w:val="0"/>
          <w:color w:val="3A4A28"/>
          <w:sz w:val="20"/>
        </w:rPr>
        <w:t>Free cash flow generation of $1.3-1.45B with 70% return to shareholders through dividends and buybacks, creating a compelling total return thesis at 20x forward P/E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cyclicality — a sustained decline below $60/bbl would slow offshore project sanctioning and threaten the $29B opportunity pipeline that underpins 2027+ growth expectations [1]</w:t>
      </w:r>
    </w:p>
    <w:p>
      <w:pPr>
        <w:spacing w:before="40" w:after="40"/>
        <w:ind w:left="283"/>
      </w:pPr>
      <w:r>
        <w:rPr>
          <w:rFonts w:ascii="Calibri" w:hAnsi="Calibri"/>
          <w:b/>
          <w:color w:val="4A6B25"/>
          <w:sz w:val="20"/>
        </w:rPr>
        <w:t xml:space="preserve">2. </w:t>
      </w:r>
      <w:r>
        <w:rPr>
          <w:rFonts w:ascii="Calibri" w:hAnsi="Calibri"/>
          <w:b w:val="0"/>
          <w:color w:val="3A4A28"/>
          <w:sz w:val="20"/>
        </w:rPr>
        <w:t>Margin execution risk on $16.6B backlog — cost overruns, supply chain disruptions, or weather delays on complex subsea projects could compress the guided 21-22% Subsea EBITDA margins [1]</w:t>
      </w:r>
    </w:p>
    <w:p>
      <w:pPr>
        <w:spacing w:before="40" w:after="40"/>
        <w:ind w:left="283"/>
      </w:pPr>
      <w:r>
        <w:rPr>
          <w:rFonts w:ascii="Calibri" w:hAnsi="Calibri"/>
          <w:b/>
          <w:color w:val="4A6B25"/>
          <w:sz w:val="20"/>
        </w:rPr>
        <w:t xml:space="preserve">3. </w:t>
      </w:r>
      <w:r>
        <w:rPr>
          <w:rFonts w:ascii="Calibri" w:hAnsi="Calibri"/>
          <w:b w:val="0"/>
          <w:color w:val="3A4A28"/>
          <w:sz w:val="20"/>
        </w:rPr>
        <w:t>Long-term energy transition headwinds — structural decline in new offshore oil and gas development as the world shifts toward renewable energy could shrink TechnipFMC's addressable market over the next decade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TechnipFMC's core business of designing, manufacturing, and installing subsea equipment in deep-water environments involves physical-world operations that AI cannot replicate — fabricating subsea trees, laying pipelines on the ocean floor, and commissioning production systems require specialized vessels, equipment, and human expertise [1]. The company's $16.6B backlog of contracted physical work provides multi-year visibility that software-based AI cannot displace. However, some engineering and design workflows could see AI-driven automation of CAD/analysis tasks, and competitive pressure from AI-optimized project delivery could emerge over time. Regulatory requirements and safety standards in offshore oil and gas create additional defensive moats against AI disruption. AI Opportunity (0/1): TechnipFMC does not generate meaningful revenue from AI products or services. The Subsea Studio digital platform and process automation efforts are operational efficiency tools rather than AI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TechnipFMC Q4 and Full Year 2025 Earnings Release — $9.9B revenue, $16.6B backlog, 2026 guidance raised, February 19, 2026</w:t>
      </w:r>
    </w:p>
    <w:p>
      <w:pPr>
        <w:spacing w:before="20" w:after="20"/>
        <w:ind w:left="170"/>
      </w:pPr>
      <w:r>
        <w:rPr>
          <w:rFonts w:ascii="Calibri" w:hAnsi="Calibri"/>
          <w:b/>
          <w:color w:val="4A6B25"/>
          <w:sz w:val="15"/>
        </w:rPr>
        <w:t xml:space="preserve">2. </w:t>
      </w:r>
      <w:r>
        <w:rPr>
          <w:rFonts w:ascii="Calibri" w:hAnsi="Calibri"/>
          <w:b w:val="0"/>
          <w:color w:val="3A4A28"/>
          <w:sz w:val="17"/>
        </w:rPr>
        <w:t>TechnipFMC Corporate Website — Executive officers, culture of execution excellence, technology leadership, CTO Justin Rounce</w:t>
      </w:r>
    </w:p>
    <w:p>
      <w:pPr>
        <w:spacing w:before="20" w:after="20"/>
        <w:ind w:left="170"/>
      </w:pPr>
      <w:r>
        <w:rPr>
          <w:rFonts w:ascii="Calibri" w:hAnsi="Calibri"/>
          <w:b/>
          <w:color w:val="4A6B25"/>
          <w:sz w:val="15"/>
        </w:rPr>
        <w:t xml:space="preserve">3. </w:t>
      </w:r>
      <w:r>
        <w:rPr>
          <w:rFonts w:ascii="Calibri" w:hAnsi="Calibri"/>
          <w:b w:val="0"/>
          <w:color w:val="3A4A28"/>
          <w:sz w:val="17"/>
        </w:rPr>
        <w:t>TechnipFMC ESG Update and Sustainalytics — ESG governance structure, ESG Committee, energy transition positioning</w:t>
      </w:r>
    </w:p>
    <w:p>
      <w:pPr>
        <w:spacing w:before="20" w:after="20"/>
        <w:ind w:left="170"/>
      </w:pPr>
      <w:r>
        <w:rPr>
          <w:rFonts w:ascii="Calibri" w:hAnsi="Calibri"/>
          <w:b/>
          <w:color w:val="4A6B25"/>
          <w:sz w:val="15"/>
        </w:rPr>
        <w:t xml:space="preserve">4. </w:t>
      </w:r>
      <w:r>
        <w:rPr>
          <w:rFonts w:ascii="Calibri" w:hAnsi="Calibri"/>
          <w:b w:val="0"/>
          <w:color w:val="3A4A28"/>
          <w:sz w:val="17"/>
        </w:rPr>
        <w:t>MarketBeat, Seeking Alpha, TipRanks — FTI insider trading activity, Susquehanna price target $82, analyst ratings,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FTI (TechnipFMC),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