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FTV</w:t>
      </w:r>
      <w:r>
        <w:rPr>
          <w:rFonts w:ascii="Calibri" w:hAnsi="Calibri"/>
          <w:b/>
          <w:color w:val="1A2010"/>
          <w:sz w:val="40"/>
        </w:rPr>
        <w:t xml:space="preserve">  Fortive Corporation</w:t>
      </w:r>
    </w:p>
    <w:p>
      <w:pPr>
        <w:spacing w:after="120"/>
      </w:pPr>
      <w:r>
        <w:rPr>
          <w:rFonts w:ascii="Calibri" w:hAnsi="Calibri"/>
          <w:b/>
          <w:color w:val="6E8450"/>
          <w:sz w:val="18"/>
        </w:rPr>
        <w:t>GROWTH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Fortive designs, develops, manufactures, and markets professional instrumentation, software, and services through two segments: Intelligent Operating Solutions (Fluke, Accruent, Industrial Scientific) and Advanced Healthcare Solutions (ASP, Provation). Spun off from Danaher in 2016, Fortive applies the Fortive Business System (FBS) — a continuous improvement operating model — to drive margin expansion and organic growth.</w:t>
      </w:r>
    </w:p>
    <w:p>
      <w:r>
        <w:rPr>
          <w:rFonts w:ascii="Calibri" w:hAnsi="Calibri"/>
          <w:b/>
          <w:color w:val="6E8450"/>
          <w:sz w:val="18"/>
        </w:rPr>
        <w:t>10,000 Employees · https://www.fortive.com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Fortive has executed a meaningful portfolio transformation since its 2016 Danaher spinoff — divesting the transportation technologies business (Vontier, 2020) and acquiring Provation, ServiceChannel, and other software businesses to shift toward higher-margin, recurring-revenue models [1]. Q4 2025 revenue of $1.12B (up 4.7% YoY) with adjusted EBITDA margins approaching 32% reflects this evolution [1]. AI Deployment (1/2): Fortive is integrating AI into its Fortive Business System and products, with the board appointment of Gregory Moore (AI/healthcare background) signaling strategic intent [2]. However, no specific AI-driven products with quantified revenue impact have been disclosed. Market Share (1/2): Fluke is the global leader in handheld test and measurement instruments; ASP leads in healthcare sterilization. Both are niche category leaders rather than broad market dominators [2]. Pipeline (1/2): Management guided to 2-3% core revenue growth and 50-100bps of EBITDA margin expansion for 2026-2027, suggesting steady but unexciting product evolution [1]. R&amp;D Intensity (1/1): Above-industry R&amp;D spending focused on connected workflow solutions, IoT-enabled instruments, and healthcare software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Fortive's stated purpose is 'innovating essential technologies to keep the world safe and productive' — clear and specific about what the company does, but not deeply inspiring or transformative beyond the obvious [2]. It identifies the beneficiary (the world) and the value (safety/productivity) but lacks the boldness of a true Just Cause. Community Impact (2/2): Fortive has been certified as a Great Place to Work, recognized by Ethisphere as one of the World's Most Ethical Companies, and named by Newsweek as one of America's Most Responsible Companies 6 years running [3]. Committed to 50% reduction in Scope 1 and 2 GHG emissions by 2029 aligned with SBTi [3]. Employee Retention (1/2): Consistent leadership with CEO Lico since 2016 (transitioning to Olumide Soroye), and Great Place to Work certification suggests above-average organizational health, though specific retention metrics are not disclosed [2]. Insider Buying (1/2): Management has meaningful equity exposure; $1.6B in share buybacks during FY2025 demonstrates capital allocation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Fortive's financial profile is solid but unexciting. D/E of 51.2% is conservative, easily clearing the target [4]. Forward P/E of 17.8x is reasonable for a company guiding to 2-3% core growth and 9% EPS growth [1]. Profit margin of 13.9% is below the 20% target but improving with the shift to software/recurring revenue [4]. ROE of 6.4% is well below the 15% target, depressed by the large goodwill/intangibles base from acquisitions [4]. Revenue growth of 4.6% YoY is modest, and the 5-year CAGR of ~3.1% (adjusted for Vontier divestiture) reflects a low-growth industrial portfolio. The estimated PEG of ~2.0 (17.8x forward PE / 9% EPS growth) is in the middle of the range. Liquidity floor easily cleared: 3.8M avg volume × $56.71 = $216M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Fortive plays a moderately infinite game, inheriting Danaher's continuous improvement DNA through the Fortive Business System. The FBS culture of kaizen and operational excellence is genuinely long-term in orientation. However, the strategy of acquiring niche businesses and applying FBS to expand margins is more formula than cause — it's effective but not inspiring in the Sinek sense.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Fortive's cause of 'keeping the world safe and productive through essential technologies' is genuine but not transformative [2]. The FBS operating system — continuous improvement applied across diverse industrial and healthcare businesses — is more of a methodology than a Just Cause. The cause has been consistent since the 2016 spinoff but lacks the decades-long validation that earns a 3.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Fortive's Great Place to Work certification and consistent Ethisphere recognition suggest above-average organizational trust [3]. The FBS culture creates a shared operational language across diverse businesses. Leadership continuity from Lico to Soroye appears planned and orderly. However, the 10,000-employee organization is relatively small for the number of brands managed, suggesting lean operations that may stress teams.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Fortive's competitive language focuses on 'innovation velocity' and 'building essential technologies' rather than beating competitors like Danaher, Honeywell, or Emerson [2]. The company's DNA — literally spun from Danaher — acknowledges its parent as both a worthy rival and source of best practices. This is fundamentally an infinite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Fortive has not faced or passed a true existential flexibility test. The portfolio evolution from transportation/industrial to software/healthcare has been incremental and acquisitive rather than transformative [1]. Divesting Vontier was portfolio management, not existential reinvention. The company applies the same FBS playbook to each acquisition without fundamentally changing its model.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Vontier divestiture required courage to shed a meaningful revenue stream to focus the portfolio [1]. The $1.6B in FY2025 share buybacks demonstrates capital allocation conviction. However, Fortive's strategy is fundamentally conservative — acquiring proven businesses and applying operational improvement — rather than making bold, contrarian bets that sacrifice near-term results.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Fortive is a high-quality industrial compounder applying the Fortive Business System to drive consistent margin expansion across essential technology businesses. Q4 2025 revenue of $1.12B (up 4.7%) with adjusted EBITDA margins approaching 32% demonstrates the FBS flywheel [1]. Forward P/E of 17.8x is reasonable for a company guiding to 9% EPS growth with 50-100bps of annual margin expansion through 2027. The conservative D/E of 51.2% and $1.6B in FY2025 buybacks provide balance sheet strength and capital return. Fluke and ASP hold #1 market positions in their niches with physical-world moats that AI cannot replicate [2]. The portfolio shift toward software and recurring revenue (Accruent, ServiceChannel, Provation) is gradually improving the revenue quality mix.</w:t>
      </w:r>
    </w:p>
    <w:p>
      <w:pPr>
        <w:spacing w:after="120"/>
      </w:pPr>
      <w:r>
        <w:rPr>
          <w:rFonts w:ascii="Calibri" w:hAnsi="Calibri"/>
          <w:b w:val="0"/>
          <w:color w:val="3A4A28"/>
          <w:sz w:val="20"/>
        </w:rPr>
        <w:t>The bear case centers on low growth and acquisition dependency. Core revenue growth guidance of 2-3% is barely above inflation, and FY2025 full-year revenue growth of 1.9% was underwhelming for a company valued at 17.8x forward earnings [1]. ROE of 6.4% is poor, reflecting the goodwill-heavy balance sheet from serial acquisitions [4]. Net income declined to $579M in FY2025 from $833M in FY2024, partially due to restructuring and non-recurring items. The 0.46% dividend yield offers minimal income while the payout ratio of 17.6% suggests management prefers buybacks over dividends. Fortive's acquisition-driven strategy requires a constant pipeline of quality targets at reasonable prices — in an expensive M&amp;A market, this becomes increasingly difficult. The trailing P/E of 35.7x (distorted by one-time items) creates sticker shock that may limit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FBS-driven margin expansion — management guided to 50-100bps of annual adjusted EBITDA margin improvement through 2027, with software mix shift accelerating the trajectory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connected instruments — Fluke's IoT-enabled measurement tools and predictive maintenance software create recurring revenue and competitive differentiation [2]</w:t>
      </w:r>
    </w:p>
    <w:p>
      <w:pPr>
        <w:spacing w:before="40" w:after="40"/>
        <w:ind w:left="283"/>
      </w:pPr>
      <w:r>
        <w:rPr>
          <w:rFonts w:ascii="Calibri" w:hAnsi="Calibri"/>
          <w:b/>
          <w:color w:val="4A6B25"/>
          <w:sz w:val="20"/>
        </w:rPr>
        <w:t xml:space="preserve">3. </w:t>
      </w:r>
      <w:r>
        <w:rPr>
          <w:rFonts w:ascii="Calibri" w:hAnsi="Calibri"/>
          <w:b w:val="0"/>
          <w:color w:val="3A4A28"/>
          <w:sz w:val="20"/>
        </w:rPr>
        <w:t>Portfolio optimization — continued shift toward higher-margin software/recurring revenue through bolt-on acquisitions funded by strong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Low organic growth — 2-3% core revenue growth guidance barely exceeds inflation, leaving the company dependent on M&amp;A and margin expansion for earnings growth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 serial acquirer model requires constant pipeline of quality targets; overpaying or integration missteps could destroy value in the goodwill-heavy balance sheet [4]</w:t>
      </w:r>
    </w:p>
    <w:p>
      <w:pPr>
        <w:spacing w:before="40" w:after="40"/>
        <w:ind w:left="283"/>
      </w:pPr>
      <w:r>
        <w:rPr>
          <w:rFonts w:ascii="Calibri" w:hAnsi="Calibri"/>
          <w:b/>
          <w:color w:val="4A6B25"/>
          <w:sz w:val="20"/>
        </w:rPr>
        <w:t xml:space="preserve">3. </w:t>
      </w:r>
      <w:r>
        <w:rPr>
          <w:rFonts w:ascii="Calibri" w:hAnsi="Calibri"/>
          <w:b w:val="0"/>
          <w:color w:val="3A4A28"/>
          <w:sz w:val="20"/>
        </w:rPr>
        <w:t>Industrial cyclicality — Fluke and Industrial Scientific are exposed to manufacturing and industrial activity cycles; global economic slowdown could pressure the largest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Fortive is IMMUNE to AI disruption in its core businesses. Fluke's handheld test instruments require physical-world measurement of electrical, thermal, and mechanical systems that AI cannot replicate — you need a physical multimeter to measure voltage [2]. ASP's sterilization systems involve physical processes (hydrogen peroxide sterilization) in regulated healthcare environments with FDA oversight. Industrial Scientific's connected gas detection requires physical sensors in hazardous environments. AI enhances rather than replaces these products through predictive maintenance, connected workflows, and data analytics overlays [2]. The software businesses (Accruent, ServiceChannel) face more AI exposure in facility management, but these represent a smaller portion of revenue. AI Opportunity (1/1): Fortive is integrating AI into its Fortive Business System and deploying AI-powered predictive analytics across its connected instrument platforms, generating incremental revenue from smart, connected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Fortive Q4 and FY2025 Earnings Release — $1.12B Q4 revenue, $4.16B FY2025 revenue, 32% adjusted EBITDA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Fortive corporate website, investor presentations, board appointments — FBS strategy, AI integration, Gregory Moore appointment,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Fortive ESG and sustainability reports — Ethisphere recognition, Great Place to Work, SBTi-aligned emissions targets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FTV,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