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FULC</w:t>
      </w:r>
      <w:r>
        <w:rPr>
          <w:rFonts w:ascii="Calibri" w:hAnsi="Calibri"/>
          <w:b/>
          <w:color w:val="1A2010"/>
          <w:sz w:val="40"/>
        </w:rPr>
        <w:t xml:space="preserve">  Fulcrum Therapeutics, Inc.</w:t>
      </w:r>
    </w:p>
    <w:p>
      <w:pPr>
        <w:spacing w:after="120"/>
      </w:pPr>
      <w:r>
        <w:rPr>
          <w:rFonts w:ascii="Calibri" w:hAnsi="Calibri"/>
          <w:b/>
          <w:color w:val="6E8450"/>
          <w:sz w:val="18"/>
        </w:rPr>
        <w:t>GROWTH SLEEVE · 2026-05-04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Fulcrum Therapeutics is a clinical-stage biopharmaceutical company developing small molecules to improve the lives of patients with genetically defined diseases. Its lead product candidate pociredir is a fetal hemoglobin inducer in Phase 1b clinical trials for sickle cell disease and beta-thalassemia. The company also has discovery programs for diamond-blackfan anemia, bone marrow failure syndromes, and fibrotic disorders. Incorporated in 2015 and headquartered in Cambridge, Massachusetts.</w:t>
      </w:r>
    </w:p>
    <w:p>
      <w:r>
        <w:rPr>
          <w:rFonts w:ascii="Calibri" w:hAnsi="Calibri"/>
          <w:b/>
          <w:color w:val="6E8450"/>
          <w:sz w:val="18"/>
        </w:rPr>
        <w:t>55 Employees · https://www.fulcrumtx.com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Fulcrum pivoted its pipeline after discontinuing losmapimod (FSHD) to focus on pociredir for sickle cell disease, demonstrating adaptability but not a transformative product launch — no commercial products have shipped [1]. AI Deployment (1/2): Board member Colin Hill brings machine learning expertise in biopharmaceutical commercialization, and CEO Alex Sapir has referenced deploying AI to match patients to treatment options, suggesting early-stage AI integration in clinical operations [2]. Market Share (1/2): Pociredir targets the $6B+ sickle cell disease market with a differentiated oral mechanism (fetal hemoglobin induction via small molecule), positioning against gene therapies from Vertex/CRISPR that cost $2M+ per treatment — a significant accessibility advantage [1]. Pipeline (2/2): Phase 1b data showed robust 12.2% absolute HbF increase to 19.3% at Week 12 in the 20mg cohort with encouraging VOC reduction trends; registration-enabling trial planned for H2 2026; additional programs in diamond-blackfan anemia and bone marrow failure syndromes provide pipeline depth [1]. R&amp;D Intensity (0/1): R&amp;D spend of $14.1M quarterly is appropriate for a 55-person clinical-stage company but is not exceptional relative to biotech peers pursuing similar-stage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Fulcrum's purpose — 'developing small molecules that improve the lives of people with rare hematological disorders' — is clear, medically meaningful, and specific to their scientific platform, but reads as a functional description rather than an inspiring vision of a transformed future [2]. Community Impact (1/2): The company's focus on sickle cell disease disproportionately affecting underserved populations (predominantly Black communities) has inherent social impact, and expanding clinical trial access demonstrates community awareness, but no specific charitable programs or community investment were found [1]. Employee Retention (1/2): The Robert J. Gould Award for embodying Fulcrum's Core Values suggests intentional culture-building; CEO transition from founder Bryan Stuart to Alex Sapir in July 2023 was orderly, and the company maintains a stable 55-person team [2]. Insider Buying (0/2): No evidence of meaningful net insider buying found in recent filings. CFO Alan Musso's retirement was announced but no insider purchases accompanied the leadership transition.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Fulcrum is a pre-revenue clinical-stage company with a strong cash position of $333.3M providing runway into 2029 — significantly better funded than most clinical-stage peers [1]. Q1 2026 net loss of $18.9M and annual operating cash burn of ~$63.6M are manageable against the cash base. D/E of 1.76% (minimal debt of $5.9M against $333M cash) reflects a fortress balance sheet for a biotech. However, ROE is -27.1% reflecting accumulated losses, profit margin is 0% with no revenue, and the stock trades at 1.5x cash value ($490M market cap vs. $333M cash). Infrastructure is mechanically scored on available metrics only — D/E scores perfectly but ROE and margin score zero, yielding a low but appropriate score for a pre-revenue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Fulcrum Therapeutics demonstrates genuine purpose in addressing rare hematological diseases affecting underserved populations, and the orderly CEO transition suggests organizational maturity. However, the company's clinical-stage reality — binary trial outcomes, cash runway management, and competitive pressure from gene therapy giants — forces finite-game survival thinking alongside its infinite-game aspirations.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Fulcrum's focus on developing affordable oral therapies for sickle cell disease — a condition disproportionately affecting underserved Black communities with limited treatment options — represents a genuine cause connecting profit to purpose [1]. The positioning against $2M+ gene therapies as an accessible alternative adds moral weight. However, the company pivoted away from its original FSHD program, suggesting the cause is partially adaptive rather than foundational.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orderly CEO transition from founder Bryan Stuart to Alex Sapir in July 2023 and CFO Alan Musso's planned retirement suggest stable governance processes [2]. The Robert J. Gould Award for embodying core values indicates intentional culture investment. At 55 employees, the team is small enough for direct relationships but large enough to require organizational norms. No significant turnover concerns or cultural red flags were found.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Fulcrum positions pociredir against Vertex/CRISPR's gene therapies by emphasizing accessibility and oral delivery — a constructive competitive framing focused on serving patients differently rather than defeating rivals [1]. However, competitive language in corporate materials emphasizes differentiation rather than learning from rivals' strengths.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Fulcrum demonstrated meaningful flexibility by discontinuing losmapimod (FSHD program) and pivoting resources to pociredir for sickle cell disease when the data pointed in a different direction — a painful but rational resource reallocation [1]. The expansion into diamond-blackfan anemia and bone marrow failure syndromes shows willingness to broaden beyond the initial thesis. These are incremental adaptations rather than transformative reinvention.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discontinue losmapimod despite years of investment and pivot to pociredir required courage — killing your lead program is among the hardest decisions in biotech [1]. Management's commitment to an oral small-molecule approach when the field is dominated by expensive gene therapies reflects conviction in an alternative path. The planned registration-enabling trial in H2 2026 shows willingness to invest aggressively toward commercialization.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Fulcrum Therapeutics offers compelling risk-reward in the sickle cell disease space with pociredir — an oral small-molecule fetal hemoglobin inducer showing 12.2% absolute HbF increase to 19.3% at Week 12, with encouraging VOC reduction trends [1]. The company trades at just 1.5x its $333.3M cash position ($490M market cap), providing significant downside protection with cash runway into 2029 [3]. Pociredir's oral delivery and accessibility advantage over $2M+ gene therapies (Vertex/CRISPR's Casgevy) positions it to capture meaningful share of the $6B+ sickle cell market. A registration-enabling trial planned for H2 2026 could trigger a significant revaluation if data support an accelerated FDA pathway. Stifel has flagged FDA flexibility as a potential catalyst, and the company's additional pipeline in diamond-blackfan anemia and bone marrow failure syndromes provides optionality beyond the lead program [1].</w:t>
      </w:r>
    </w:p>
    <w:p>
      <w:pPr>
        <w:spacing w:after="120"/>
      </w:pPr>
      <w:r>
        <w:rPr>
          <w:rFonts w:ascii="Calibri" w:hAnsi="Calibri"/>
          <w:b w:val="0"/>
          <w:color w:val="3A4A28"/>
          <w:sz w:val="20"/>
        </w:rPr>
        <w:t>The bear case centers on clinical execution risk and competitive dynamics. Pociredir's Phase 1b data, while encouraging, is from a small cohort and may not replicate in a larger registration trial — sickle cell disease is notoriously difficult for clinical development [1]. The company burns $63.6M annually with zero revenue, and while $333M cash provides runway into 2029, a failed registration trial would strand significant capital. Gene therapy competitors (Vertex/CRISPR, Bluebird Bio) are already on the market with potentially curative one-time treatments, raising the bar for an oral maintenance therapy. ROE of -27.1% and zero profit margin reflect the pre-revenue reality. The stock's beta of 3.0 indicates extreme volatility, and a class action lawsuit (Rosen Law) suggests governance concerns that may spook institutional investors. At 55 employees, key-person risk is elevated — loss of critical scientific talent could delay the registration trial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Registration-enabling trial initiation in H2 2026 could trigger significant revaluation, particularly if trial design allows for an accelerated FDA pathway supported by Fast Track or Breakthrough designations [1]</w:t>
      </w:r>
    </w:p>
    <w:p>
      <w:pPr>
        <w:spacing w:before="40" w:after="40"/>
        <w:ind w:left="283"/>
      </w:pPr>
      <w:r>
        <w:rPr>
          <w:rFonts w:ascii="Calibri" w:hAnsi="Calibri"/>
          <w:b/>
          <w:color w:val="4A6B25"/>
          <w:sz w:val="20"/>
        </w:rPr>
        <w:t xml:space="preserve">2. </w:t>
      </w:r>
      <w:r>
        <w:rPr>
          <w:rFonts w:ascii="Calibri" w:hAnsi="Calibri"/>
          <w:b w:val="0"/>
          <w:color w:val="3A4A28"/>
          <w:sz w:val="20"/>
        </w:rPr>
        <w:t>Additional pociredir Phase 1b data readouts across dose cohorts expected through 2026, with continued HbF response and VOC reduction data validating the mechanism of action [1]</w:t>
      </w:r>
    </w:p>
    <w:p>
      <w:pPr>
        <w:spacing w:before="40" w:after="40"/>
        <w:ind w:left="283"/>
      </w:pPr>
      <w:r>
        <w:rPr>
          <w:rFonts w:ascii="Calibri" w:hAnsi="Calibri"/>
          <w:b/>
          <w:color w:val="4A6B25"/>
          <w:sz w:val="20"/>
        </w:rPr>
        <w:t xml:space="preserve">3. </w:t>
      </w:r>
      <w:r>
        <w:rPr>
          <w:rFonts w:ascii="Calibri" w:hAnsi="Calibri"/>
          <w:b w:val="0"/>
          <w:color w:val="3A4A28"/>
          <w:sz w:val="20"/>
        </w:rPr>
        <w:t>Trading at 1.5x cash ($490M market cap vs. $333M cash) provides a natural valuation floor and creates an asymmetric risk-reward profile for the registration trial outcome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1b to registration trial transition risk — small-cohort efficacy data may not replicate in a larger, controlled setting, and sickle cell clinical trials have high failure rates due to patient heterogeneity [1]</w:t>
      </w:r>
    </w:p>
    <w:p>
      <w:pPr>
        <w:spacing w:before="40" w:after="40"/>
        <w:ind w:left="283"/>
      </w:pPr>
      <w:r>
        <w:rPr>
          <w:rFonts w:ascii="Calibri" w:hAnsi="Calibri"/>
          <w:b/>
          <w:color w:val="4A6B25"/>
          <w:sz w:val="20"/>
        </w:rPr>
        <w:t xml:space="preserve">2. </w:t>
      </w:r>
      <w:r>
        <w:rPr>
          <w:rFonts w:ascii="Calibri" w:hAnsi="Calibri"/>
          <w:b w:val="0"/>
          <w:color w:val="3A4A28"/>
          <w:sz w:val="20"/>
        </w:rPr>
        <w:t>Gene therapy competition from Vertex/CRISPR's Casgevy and Bluebird Bio's Lyfgenia already on the market with potentially curative one-time treatments, raising the efficacy bar for an oral maintenance therapy [1]</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(Rosen Law) and CFO retirement create governance uncertainty that may deter institutional investment at a critical clinical inflection 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rare genetic diseases involves complex biology, FDA-regulated clinical trials, and patient-specific treatment protocols that AI cannot substitute [1]. Fulcrum's proprietary technology for identifying drug targets that modulate gene expression represents deep scientific know-how protected by composition-of-matter patents. The regulatory pathway for sickle cell disease treatments creates structural barriers. However, AI is accelerating competitor drug discovery — larger pharma companies could use AI-driven platforms to develop competing small-molecule approaches faster. AI Opportunity (0/1): While CEO Sapir has referenced AI for patient-treatment matching and board member Colin Hill has ML expertise, no AI-generated revenue or AI-powered commercial products exist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Fulcrum Therapeutics Q1 2026 Earnings Release — $18.9M net loss, $333.3M cash, pociredir Phase 1b data showing 12.2% HbF increase, April 2026</w:t>
      </w:r>
    </w:p>
    <w:p>
      <w:pPr>
        <w:spacing w:before="20" w:after="20"/>
        <w:ind w:left="170"/>
      </w:pPr>
      <w:r>
        <w:rPr>
          <w:rFonts w:ascii="Calibri" w:hAnsi="Calibri"/>
          <w:b/>
          <w:color w:val="4A6B25"/>
          <w:sz w:val="15"/>
        </w:rPr>
        <w:t xml:space="preserve">2. </w:t>
      </w:r>
      <w:r>
        <w:rPr>
          <w:rFonts w:ascii="Calibri" w:hAnsi="Calibri"/>
          <w:b w:val="0"/>
          <w:color w:val="3A4A28"/>
          <w:sz w:val="17"/>
        </w:rPr>
        <w:t>Fulcrum Therapeutics corporate website, leadership bios, Glassdoor, LinkedIn — CEO Alex Sapir, Colin Hill ML expertise, Robert J. Gould Award</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FULC — $7.36 price, $490M market cap, $333M cash, D/E 1.76%,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