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FULT</w:t>
      </w:r>
      <w:r>
        <w:rPr>
          <w:rFonts w:ascii="Calibri" w:hAnsi="Calibri"/>
          <w:b/>
          <w:color w:val="1A2010"/>
          <w:sz w:val="40"/>
        </w:rPr>
        <w:t xml:space="preserve">  Fulton Financial Corporation</w:t>
      </w:r>
    </w:p>
    <w:p>
      <w:pPr>
        <w:spacing w:after="120"/>
      </w:pPr>
      <w:r>
        <w:rPr>
          <w:rFonts w:ascii="Calibri" w:hAnsi="Calibri"/>
          <w:b/>
          <w:color w:val="6E8450"/>
          <w:sz w:val="18"/>
        </w:rPr>
        <w:t>DIVIDEND SLEEVE · 2026-04-19 · Inspire: 47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United States</w:t>
      </w:r>
    </w:p>
    <w:p>
      <w:pPr>
        <w:spacing w:after="80"/>
      </w:pPr>
      <w:r>
        <w:rPr>
          <w:rFonts w:ascii="Calibri" w:hAnsi="Calibri"/>
          <w:b w:val="0"/>
          <w:color w:val="3A4A28"/>
          <w:sz w:val="20"/>
        </w:rPr>
        <w:t>Fulton Financial Corporation is a $30 billion asset financial holding company headquartered in Lancaster, Pennsylvania. Through its subsidiary Fulton Bank, the company provides commercial and consumer banking, wealth management, and mortgage services across Pennsylvania, Maryland, Delaware, New Jersey, and Virginia. The company acquired Republic First Bancorp in 2024 and is executing its 'Fulton First' transformation initiative.</w:t>
      </w:r>
    </w:p>
    <w:p>
      <w:r>
        <w:rPr>
          <w:rFonts w:ascii="Calibri" w:hAnsi="Calibri"/>
          <w:b/>
          <w:color w:val="6E8450"/>
          <w:sz w:val="18"/>
        </w:rPr>
        <w:t>3,600 Employees · https://www.fultonbank.com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Fulton completed the acquisition of Republic First Bancorp in 2024, expanding its footprint and growing assets to $30B — a meaningful but incremental strategic move rather than a transformative pivot [1]. The 'Fulton First' transformation initiative is underway but has not yet produced breakthrough results. AI Deployment (0/2): No evidence of AI-powered products or quantified AI-driven cost savings; Fulton operates as a traditional community bank without visible AI integration in customer-facing services or operations [2]. Market Share (1/2): Fulton is a meaningful regional player in the Mid-Atlantic with $30B in assets and strong deposit growth (consumer demand deposit openings up 25% YoY), but is far from a category leader compared to national banks or larger regionals [1]. Pipeline (0/2): No next-generation products or specific technology initiatives with named launch dates were identified; the company's growth strategy relies on organic deposit growth and the integration of acquired Republic First operations [1]. R&amp;D Intensity (0/1): No evidence of above-average technology or R&amp;D investment relative to regional banking peers; Fulton operates with a traditional community banking technology stack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Fulton Bank's community banking mission emphasizes 'strong personal relationships and community support' — clear and identifies the beneficiary (local communities), but is interchangeable with virtually any community bank's stated purpose [2]. The mission is not distinctive or transformative. Community Impact (2/2): The Fulton Forward Foundation makes impact grants supporting affordable housing, workforce development, financial literacy, and economic empowerment in its communities [3]. The company's 2024 CSR report details specific programs including homeownership assistance, job training partnerships, and financial literacy education — tangible community investment aligned with its banking mission. Employee Retention (1/2): CEO Curt Myers has led since 2023 with prior service as President since 2018, and his appointment to the Federal Reserve Bank of Philadelphia board reinforces leadership stability [2]. Community banks typically exhibit above-average retention, though no specific tenure or turnover data was found. Insider Buying (0/2): Recent insider activity shows net selling — Director E. Philip Wenger sold 5,000 shares at $21.42 on April 13, 2026 [4]. No significant insider buying was identified in recent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Fulton Financial's infrastructure profile is solid for a community bank. ROE of 11.71% is below the 15% target but respectable for the banking sector [5]. Forward P/E of 9.45x is attractively valued below the 20x target, and profit margin of 30.66% exceeds the 20% threshold — strong for a bank [5]. Revenue growth YoY of 2.2% (per yfinance) is modest, though full-year 2025 revenue grew 11.3% to $1.28B driven by the Republic First acquisition and net interest margin expansion to 3.57% [1]. Record operating EPS of $2.16 for FY2025 demonstrates earnings power. Dividend payout ratio of 36.54% is conservative and below the 40% target, with ~40+ consecutive years of dividend payments providing stability [4]. However, consecutive dividend growth of only 4 years and minimal 5-year dividend growth CAGR (~0.1%) weigh on the dividend quality metrics. D/E data unavailable from yfinance (banks carry deposit liabilities that distort this metric). Liquidity floor easily cleared: 2.12M avg vol × $21.99 = $46.6M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Fulton Financial exhibits mixed infinite game characteristics. The 140+ year history as a community bank demonstrates institutional endurance, and the Republic First acquisition during the 2024 banking stress period showed willingness to deploy capital when others retreated. However, the company's competitive positioning is conventional, innovation is incremental, and there is no evidence of transformative strategic thinking or competitive learning that would distinguish Fulton from hundreds of similar community banks.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Fulton Financial's community banking purpose — serving local communities through personal relationships, community support, and financial empowerment — has been lived out for over 140 years since the company's founding in 1882 [2][3]. The Fulton Forward Foundation's focus on affordable housing, workforce development, and financial literacy demonstrates the purpose is partially validated by consistent execution. However, this purpose is shared by virtually every community bank and does not represent a uniquely distinctive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Fulton exhibits adequate organizational trust — leadership continuity under CEO Curt Myers (promoted from President in 2023, with the company since 2018), stable board governance, and community bank culture that typically produces lower turnover than national banks [2]. Myers' appointment to the Federal Reserve Bank of Philadelphia board signals external validation of leadership quality. However, no specific evidence of exceptional trust practices, employee empowerment, or cultural distinction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that Fulton Financial acknowledges competitors' strengths or uses competitive dynamics for self-improvement in its public communications [1][2]. Management commentary focuses on internal execution (the 'Fulton First' transformation, deposit growth metrics) rather than competitive learning. The community banking space is fragmented with limited competitive discourse, but Sinek would note the absence of any worthy rival acknowledgment as a finite characteristic.</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Republic First Bancorp acquisition in 2024 — acquiring a failed bank during a period of regional banking stress — demonstrated meaningful flexibility to capitalize on disruption [1]. The 'Fulton First' transformation initiative suggests willingness to evolve the operating model. However, these are incremental adaptations within traditional community banking rather than the kind of radical reinvention Sinek values most. The core business model has remained essentially unchanged for decades.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Republic First acquisition during the 2024 regional banking crisis required courage — deploying capital to acquire a stressed institution when many banks were retrenching [1]. The $150M share buyback authorization in December 2025 and maintaining the dividend through market volatility demonstrate capital allocation conviction. However, no evidence of truly contrarian long-term bets or sacrificing near-term results for multi-year capability building was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Fulton Financial is a well-managed community bank trading at an attractive valuation — forward P/E of 9.45x with record operating EPS of $2.16 in FY2025 and 46.5% YoY earnings growth [1][5]. The Republic First acquisition expanded Fulton's footprint to $30B in assets, and strong deposit growth (consumer demand deposit openings up 25% YoY, $449M in customer deposit growth) demonstrates franchise strength in a competitive banking environment [1]. Net interest margin expanded to 3.57%, revenue grew 11.3% to $1.28B in FY2025, and the 36.5% payout ratio on a 3.5% dividend yield provides income with safety margin [4]. The Fulton Forward Foundation and community banking mission provide values alignment, and the stock's Inspire Impact Score of 47 places it firmly in ALIGNED territory. At 9.45x forward earnings, the market is pricing in minimal growth despite management guiding for continued earnings power in 2026 [5].</w:t>
      </w:r>
    </w:p>
    <w:p>
      <w:pPr>
        <w:spacing w:after="120"/>
      </w:pPr>
      <w:r>
        <w:rPr>
          <w:rFonts w:ascii="Calibri" w:hAnsi="Calibri"/>
          <w:b w:val="0"/>
          <w:color w:val="3A4A28"/>
          <w:sz w:val="20"/>
        </w:rPr>
        <w:t>The bear case reflects the structural challenges facing community banks. Revenue growth YoY decelerated to 2.2% in the most recent period, and management acknowledged headwinds including pressure on loan yields and quarterly cost volatility [1]. The dividend growth profile is weak — only 4 consecutive years of increases with a negligible 0.1% average annual growth rate, offering minimal income growth for dividend-focused investors [4]. ROE of 11.71% is below the 15% target and trails larger, more efficient banks. The regional banking sector remains under pressure from potential credit deterioration (commercial real estate exposure), interest rate uncertainty, and regulatory burden that disproportionately affects mid-size banks. Recent insider selling by Director Wenger ($107K in shares) and a 'Sell' rating from Wall Street Zen suggest limited near-term upside [4]. The company's lack of AI adoption and technology innovation creates a long-term competitive disadvantage as digital banking and fintech competitors gain market share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Republic First integration synergies — full realization of cost savings and revenue synergies from the 2024 acquisition could drive margin expansion and earnings accretion in 2026 [1]</w:t>
      </w:r>
    </w:p>
    <w:p>
      <w:pPr>
        <w:spacing w:before="40" w:after="40"/>
        <w:ind w:left="283"/>
      </w:pPr>
      <w:r>
        <w:rPr>
          <w:rFonts w:ascii="Calibri" w:hAnsi="Calibri"/>
          <w:b/>
          <w:color w:val="4A6B25"/>
          <w:sz w:val="20"/>
        </w:rPr>
        <w:t xml:space="preserve">2. </w:t>
      </w:r>
      <w:r>
        <w:rPr>
          <w:rFonts w:ascii="Calibri" w:hAnsi="Calibri"/>
          <w:b w:val="0"/>
          <w:color w:val="3A4A28"/>
          <w:sz w:val="20"/>
        </w:rPr>
        <w:t>Net interest margin expansion — if the rate environment favors community bank deposit franchises, Fulton's strong deposit growth (consumer DDA openings +25% YoY) could drive NII upward from the 3.57% NIM baseline [1]</w:t>
      </w:r>
    </w:p>
    <w:p>
      <w:pPr>
        <w:spacing w:before="40" w:after="40"/>
        <w:ind w:left="283"/>
      </w:pPr>
      <w:r>
        <w:rPr>
          <w:rFonts w:ascii="Calibri" w:hAnsi="Calibri"/>
          <w:b/>
          <w:color w:val="4A6B25"/>
          <w:sz w:val="20"/>
        </w:rPr>
        <w:t xml:space="preserve">3. </w:t>
      </w:r>
      <w:r>
        <w:rPr>
          <w:rFonts w:ascii="Calibri" w:hAnsi="Calibri"/>
          <w:b w:val="0"/>
          <w:color w:val="3A4A28"/>
          <w:sz w:val="20"/>
        </w:rPr>
        <w:t>$150M share buyback program — repurchasing ~4.2% of outstanding shares at current valuations (9.45x forward PE) would be accretive to EPS and signal management confidence in intrinsic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Credit quality deterioration — commercial real estate exposure and potential economic slowdown could increase provision expenses and compress earnings, particularly in the Mid-Atlantic markets served by Fulton [1]</w:t>
      </w:r>
    </w:p>
    <w:p>
      <w:pPr>
        <w:spacing w:before="40" w:after="40"/>
        <w:ind w:left="283"/>
      </w:pPr>
      <w:r>
        <w:rPr>
          <w:rFonts w:ascii="Calibri" w:hAnsi="Calibri"/>
          <w:b/>
          <w:color w:val="4A6B25"/>
          <w:sz w:val="20"/>
        </w:rPr>
        <w:t xml:space="preserve">2. </w:t>
      </w:r>
      <w:r>
        <w:rPr>
          <w:rFonts w:ascii="Calibri" w:hAnsi="Calibri"/>
          <w:b w:val="0"/>
          <w:color w:val="3A4A28"/>
          <w:sz w:val="20"/>
        </w:rPr>
        <w:t>Negligible dividend growth — 0.1% average annual dividend growth over three years provides no real income growth for dividend investors, potentially limiting demand for the stock despite the 3.5% yield [4]</w:t>
      </w:r>
    </w:p>
    <w:p>
      <w:pPr>
        <w:spacing w:before="40" w:after="40"/>
        <w:ind w:left="283"/>
      </w:pPr>
      <w:r>
        <w:rPr>
          <w:rFonts w:ascii="Calibri" w:hAnsi="Calibri"/>
          <w:b/>
          <w:color w:val="4A6B25"/>
          <w:sz w:val="20"/>
        </w:rPr>
        <w:t xml:space="preserve">3. </w:t>
      </w:r>
      <w:r>
        <w:rPr>
          <w:rFonts w:ascii="Calibri" w:hAnsi="Calibri"/>
          <w:b w:val="0"/>
          <w:color w:val="3A4A28"/>
          <w:sz w:val="20"/>
        </w:rPr>
        <w:t>Technology disruption gap — no visible AI or digital banking innovation creates a long-term competitive disadvantage as fintech competitors and national banks with larger technology budgets capture digitally-native customers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Community banking involves heavily regulated processes (KYC/AML compliance, lending underwriting, FDIC-regulated deposit insurance), physical branch infrastructure across five states, and relationship-driven commercial and consumer banking that AI cannot structurally displace [2]. Fulton's core revenue streams — net interest income from loans and deposits, wealth management, and mortgage services — require regulatory licenses, fiduciary responsibilities, and human relationship management that create meaningful defensive moats against AI disruption. While AI may automate some back-office functions (fraud detection, credit scoring, document processing), the core banking model is protected by regulation and relationship switching costs. AI Opportunity (0/1): Fulton does not generate revenue from AI products or services; the company operates as a traditional community bank without visible AI monetization beyond potential internal efficiency gains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Fulton Financial FY2025 Earnings — record $2.16 operating EPS, $1.28B revenue (+11.3%), NIM 3.57%, deposit growth $449M, Republic First integration, March 2026</w:t>
      </w:r>
    </w:p>
    <w:p>
      <w:pPr>
        <w:spacing w:before="20" w:after="20"/>
        <w:ind w:left="170"/>
      </w:pPr>
      <w:r>
        <w:rPr>
          <w:rFonts w:ascii="Calibri" w:hAnsi="Calibri"/>
          <w:b/>
          <w:color w:val="4A6B25"/>
          <w:sz w:val="15"/>
        </w:rPr>
        <w:t xml:space="preserve">2. </w:t>
      </w:r>
      <w:r>
        <w:rPr>
          <w:rFonts w:ascii="Calibri" w:hAnsi="Calibri"/>
          <w:b w:val="0"/>
          <w:color w:val="3A4A28"/>
          <w:sz w:val="17"/>
        </w:rPr>
        <w:t>Fulton Financial corporate profile — $30B asset community bank, Curt Myers CEO, community banking mission, five-state footprint,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Fulton Financial ESG/CSR — Fulton Forward Foundation, affordable housing, workforce development, financial literacy programs, 2024 CSR Report</w:t>
      </w:r>
    </w:p>
    <w:p>
      <w:pPr>
        <w:spacing w:before="20" w:after="20"/>
        <w:ind w:left="170"/>
      </w:pPr>
      <w:r>
        <w:rPr>
          <w:rFonts w:ascii="Calibri" w:hAnsi="Calibri"/>
          <w:b/>
          <w:color w:val="4A6B25"/>
          <w:sz w:val="15"/>
        </w:rPr>
        <w:t xml:space="preserve">4. </w:t>
      </w:r>
      <w:r>
        <w:rPr>
          <w:rFonts w:ascii="Calibri" w:hAnsi="Calibri"/>
          <w:b w:val="0"/>
          <w:color w:val="3A4A28"/>
          <w:sz w:val="17"/>
        </w:rPr>
        <w:t>Nasdaq, MarketBeat — FULT dividend $0.76/share, yield 3.5%, payout ratio 36.54%, 4 consecutive years growth, insider selling, $150M buyback,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FULT key statistics, stock price $21.99, PE 10.57, forward PE 9.45, ROE 11.71%, profit margin 30.66%,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