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FUSE</w:t>
      </w:r>
      <w:r>
        <w:rPr>
          <w:rFonts w:ascii="Calibri" w:hAnsi="Calibri"/>
          <w:b/>
          <w:color w:val="1A2010"/>
          <w:sz w:val="40"/>
        </w:rPr>
        <w:t xml:space="preserve">  Fusemachines Inc.</w:t>
      </w:r>
    </w:p>
    <w:p>
      <w:pPr>
        <w:spacing w:after="120"/>
      </w:pPr>
      <w:r>
        <w:rPr>
          <w:rFonts w:ascii="Calibri" w:hAnsi="Calibri"/>
          <w:b/>
          <w:color w:val="6E8450"/>
          <w:sz w:val="18"/>
        </w:rPr>
        <w:t>GROWTH SLEEVE · 2026-04-07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Application · NASDAQ · United States</w:t>
      </w:r>
    </w:p>
    <w:p>
      <w:pPr>
        <w:spacing w:after="80"/>
      </w:pPr>
      <w:r>
        <w:rPr>
          <w:rFonts w:ascii="Calibri" w:hAnsi="Calibri"/>
          <w:b w:val="0"/>
          <w:color w:val="3A4A28"/>
          <w:sz w:val="20"/>
        </w:rPr>
        <w:t>Fusemachines Inc. develops and delivers artificial intelligence as a service and machine learning software solutions. Products include Fuse Anna (AI assistant), Fuse Prospector (AI sales platform), AI Studio, and AI Engines. The company also operates the Fusemachines AI Fellowship program for underserved communities. Founded in 2013, the company listed on NASDAQ in October 2025 through a SPAC merger with CSLM Acquisition Corp.</w:t>
      </w:r>
    </w:p>
    <w:p>
      <w:r>
        <w:rPr>
          <w:rFonts w:ascii="Calibri" w:hAnsi="Calibri"/>
          <w:b/>
          <w:color w:val="6E8450"/>
          <w:sz w:val="18"/>
        </w:rPr>
        <w:t>https://fusemachines.com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Fusemachines has been operating since 2013 but only listed on NASDAQ in October 2025 via SPAC merger, with no meaningful product launches or business model transformations that moved the needle — revenue declined 12.5% YoY to $7.7M in 2025 after 18.5% growth in 2024 [1]. AI Deployment (2/2): AI is the company's entire product — Fuse Anna, Fuse Prospector, AI Studio, and AI Engines are shipping AI products serving governments, financial institutions, and e-commerce companies, and the company generates 55.8% gross margins on its AI services [1]. Market Share (0/2): With only $7.7M in annual revenue and a $26M market cap, Fusemachines is a negligible player in the massive enterprise AI market dominated by Microsoft, Google, AWS, and dozens of well-funded startups [1]. Pipeline (1/2): The company outlined a four-pillar 2026 growth strategy focused on retail and real estate verticals, with plans for organic growth, strategic partnerships with global resellers, and selective acquisitions [2]. R&amp;D Intensity (0/1): No R&amp;D spending data disclosed; the company operates with negative operating margins of -139%, suggesting spending exceeds revenue but efficiency is unclear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Fusemachines' mission to 'democratize AI' is clear and connects the company's work to broader access, but the phrase has become ubiquitous in the AI industry — virtually every AI startup claims to democratize AI, making it undifferentiated [2]. Community Impact (1/2): The Fusemachines AI Fellowship program provides scholars from underserved communities with mentorship and AI/ML skills training, representing genuine social impact aligned with the democratization mission, though scale is limited [1]. Employee Retention (0/2): No employee count, tenure, or turnover data available for this micro-cap company. Insider Buying (0/2): No insider transaction data available; the company recently completed its SPAC listing in October 2025 with limited post-listing trading history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Fusemachines' financial profile reflects an early-stage company with limited scale. Revenue of $7.7M (down 12.5% YoY) with negative operating margins of -139% and negative profit margins of -12% indicate the company is far from profitability [1]. Cash of $4.2M against $1.5M debt provides short-term runway but limited cushion for a money-losing operation. Gross margins of 55.8% are healthy for a software/services company, suggesting the underlying economics could work at scale. No P/E, forward P/E, ROE, or D/E metrics are meaningful for this pre-profit company. The $26M market cap and recent 96% decline from the October 2025 all-time high of $25.00 to $0.90 reflects severe investor skepticism about the SPAC-to-public transition [1]. Liquidity floor cleared: 3.7M avg volume × $0.90 = $3.3M daily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1</w:t>
      </w:r>
      <w:r>
        <w:rPr>
          <w:rFonts w:ascii="Calibri" w:hAnsi="Calibri"/>
          <w:b w:val="0"/>
          <w:color w:val="9DAF88"/>
          <w:sz w:val="18"/>
        </w:rPr>
        <w:t xml:space="preserve"> /10</w:t>
      </w:r>
    </w:p>
    <w:p>
      <w:pPr>
        <w:spacing w:after="120"/>
      </w:pPr>
      <w:r>
        <w:rPr>
          <w:rFonts w:ascii="Calibri" w:hAnsi="Calibri"/>
          <w:b w:val="0"/>
          <w:color w:val="3A4A28"/>
          <w:sz w:val="18"/>
        </w:rPr>
        <w:t>Fusemachines shows finite game characteristics typical of a micro-cap SPAC-listed company — survival-oriented decision-making, limited track record of purpose-driven strategy, and no evidence of the organizational depth or leadership consistency that infinite game thinking requires. The AI Fellowship program hints at purpose beyond profit, but the company's 96% stock decline and revenue contraction suggest the immediate focus is on staying viable.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'democratize AI' mission has genuine aspiration — connecting AI skills to underserved communities through the Fellowship program shows it's more than marketing [1]. However, this cause is shared by dozens of AI companies and has not been validated through crisis, sustained execution, or multi-year strategic consistency. The company listed via SPAC just 18 months ago and has yet to prove the cause drives real strategic decisions beyond the fellowship.</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 evidence of organizational trust, employee empowerment, or cultural health. No employee count disclosed, no Glassdoor data available, and the company's micro-cap status with offices across New York, Nepal, Canada, India, and Cuba suggests a distributed workforce where building cohesive trust culture is challenging [1]. The SPAC transition process often creates organizational uncertainty.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 evidence of infinite competitive mindset. With $7.7M in revenue competing against hyperscalers with billions in AI investment, the competitive framing appears to be survival rather than learning from worthy rivals [1]. The 2026 strategy focuses on niche verticals (retail, real estate) which could reflect strategic wisdom about where to compete, but no evidence of acknowledging rivals' strengths as motivation for improvement [2].</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company has not demonstrated existential flexibility — it has operated in AI services since founding in 2013 and the recent pivot to vertical-specific products (retail, real estate) represents incremental rather than transformative change [2]. The SPAC listing itself was a financing event, not a strategic pivot. The company is too early-stage to have faced the kind of existential choice that tests flexibility.</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 clear evidence of courageous leadership decisions that sacrificed near-term results for long-term capability. The SPAC listing provided capital but the subsequent 96% stock price decline raises questions about whether the timing and structure served long-term interests [1]. The AI Fellowship program for underserved communities shows some values-driven leadership, but no evidence of costly strategic bets.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Fusemachines is a micro-cap AI services company with $7.7M in annual revenue, 55.8% gross margins, and a mission to democratize AI through products like AI Studio, AI Engines, and Fuse Prospector [1]. The company's 2026 growth strategy targets retail and real estate verticals with plans for organic growth, strategic partnerships, and selective acquisitions [2]. The AI Fellowship program provides genuine social impact by training underserved communities in AI/ML skills. Gross margins suggest the software/services model could be profitable at scale, and the $4.2M cash position provides near-term runway. A February 2026 strategic partnership announcement briefly doubled the stock price, suggesting market appetite for positive catalysts [1].</w:t>
      </w:r>
    </w:p>
    <w:p>
      <w:pPr>
        <w:spacing w:after="120"/>
      </w:pPr>
      <w:r>
        <w:rPr>
          <w:rFonts w:ascii="Calibri" w:hAnsi="Calibri"/>
          <w:b w:val="0"/>
          <w:color w:val="3A4A28"/>
          <w:sz w:val="20"/>
        </w:rPr>
        <w:t>The bear case is severe. Revenue declined 12.5% YoY to $7.7M in 2025 after 18.5% growth in 2024, suggesting the growth trajectory has reversed [1]. Operating margins of -139% indicate the company burns far more than it earns, with a $26M market cap that provides minimal margin for error. The stock has collapsed 96% from its October 2025 SPAC-listing high of $25.00 to $0.90, reflecting deep market skepticism [1]. Fusemachines competes against Microsoft, Google, AWS, and dozens of well-funded AI startups with orders of magnitude more resources — the company's $7.7M revenue is immaterial in the enterprise AI market. No forward P/E, no analyst coverage, and no profitability timeline make this speculative at best. Negative book value (-$0.50/share) means shareholders have no asset floor. The SPAC listing structure and subsequent price collapse are characteristic of speculative micro-cap stocks with high failure risk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Successful execution of 2026 vertical strategy in retail and real estate, with potential to demonstrate product-market fit and revenue acceleration through strategic partnerships [2]</w:t>
      </w:r>
    </w:p>
    <w:p>
      <w:pPr>
        <w:spacing w:before="40" w:after="40"/>
        <w:ind w:left="283"/>
      </w:pPr>
      <w:r>
        <w:rPr>
          <w:rFonts w:ascii="Calibri" w:hAnsi="Calibri"/>
          <w:b/>
          <w:color w:val="4A6B25"/>
          <w:sz w:val="20"/>
        </w:rPr>
        <w:t xml:space="preserve">2. </w:t>
      </w:r>
      <w:r>
        <w:rPr>
          <w:rFonts w:ascii="Calibri" w:hAnsi="Calibri"/>
          <w:b w:val="0"/>
          <w:color w:val="3A4A28"/>
          <w:sz w:val="20"/>
        </w:rPr>
        <w:t>Strategic partnership announcements (like the February 2026 deal that doubled the stock) that validate the AI platform's enterprise value and drive revenue growth [1]</w:t>
      </w:r>
    </w:p>
    <w:p>
      <w:pPr>
        <w:spacing w:before="40" w:after="40"/>
        <w:ind w:left="283"/>
      </w:pPr>
      <w:r>
        <w:rPr>
          <w:rFonts w:ascii="Calibri" w:hAnsi="Calibri"/>
          <w:b/>
          <w:color w:val="4A6B25"/>
          <w:sz w:val="20"/>
        </w:rPr>
        <w:t xml:space="preserve">3. </w:t>
      </w:r>
      <w:r>
        <w:rPr>
          <w:rFonts w:ascii="Calibri" w:hAnsi="Calibri"/>
          <w:b w:val="0"/>
          <w:color w:val="3A4A28"/>
          <w:sz w:val="20"/>
        </w:rPr>
        <w:t>Path to profitability — gross margins of 55.8% suggest the model works at scale; achieving operating margin breakeven would transform the investment thesis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Revenue contraction (-12.5% YoY) with -139% operating margins creates existential risk — the company may run out of cash before achieving profitability, requiring dilutive capital raises [1]</w:t>
      </w:r>
    </w:p>
    <w:p>
      <w:pPr>
        <w:spacing w:before="40" w:after="40"/>
        <w:ind w:left="283"/>
      </w:pPr>
      <w:r>
        <w:rPr>
          <w:rFonts w:ascii="Calibri" w:hAnsi="Calibri"/>
          <w:b/>
          <w:color w:val="4A6B25"/>
          <w:sz w:val="20"/>
        </w:rPr>
        <w:t xml:space="preserve">2. </w:t>
      </w:r>
      <w:r>
        <w:rPr>
          <w:rFonts w:ascii="Calibri" w:hAnsi="Calibri"/>
          <w:b w:val="0"/>
          <w:color w:val="3A4A28"/>
          <w:sz w:val="20"/>
        </w:rPr>
        <w:t>Overwhelming competition from hyperscalers (Microsoft, Google, AWS) integrating AI capabilities into existing enterprise platforms, making standalone AI-as-a-service increasingly commoditized [1]</w:t>
      </w:r>
    </w:p>
    <w:p>
      <w:pPr>
        <w:spacing w:before="40" w:after="40"/>
        <w:ind w:left="283"/>
      </w:pPr>
      <w:r>
        <w:rPr>
          <w:rFonts w:ascii="Calibri" w:hAnsi="Calibri"/>
          <w:b/>
          <w:color w:val="4A6B25"/>
          <w:sz w:val="20"/>
        </w:rPr>
        <w:t xml:space="preserve">3. </w:t>
      </w:r>
      <w:r>
        <w:rPr>
          <w:rFonts w:ascii="Calibri" w:hAnsi="Calibri"/>
          <w:b w:val="0"/>
          <w:color w:val="3A4A28"/>
          <w:sz w:val="20"/>
        </w:rPr>
        <w:t>SPAC-listing track record — 96% price decline from IPO high suggests the CSLM merger may have overvalued the business, and micro-cap stocks with negative book value face high delisting risk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(4/9): Fusemachines occupies a paradoxical position — as a pure-play AI services company, AI is both its product and its existential threat. The company's AI-as-a-service model faces direct substitution risk from massively better-funded competitors (Microsoft Copilot, Google Vertex AI, AWS Bedrock) that are integrating AI capabilities into existing enterprise platforms at scale [1]. Fusemachines' $7.7M revenue makes it a rounding error compared to hyperscaler AI offerings. The company's differentiation through AI talent training (Fellowship program) and vertical-specific solutions for retail and real estate provides some defensibility, but switching costs are low and proprietary moats are thin for a company of this size [2]. AI Opportunity (1/1): The company's entire revenue base is AI-derived — Fuse Anna, Fuse Prospector, AI Studio, and AI Engines are all AI products generating $7.7M in annual revenue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Yahoo Finance / yfinance data for FUSE (Fusemachines Inc.), Stock Analysis revenue data, accessed April 7, 2026</w:t>
      </w:r>
    </w:p>
    <w:p>
      <w:pPr>
        <w:spacing w:before="20" w:after="20"/>
        <w:ind w:left="170"/>
      </w:pPr>
      <w:r>
        <w:rPr>
          <w:rFonts w:ascii="Calibri" w:hAnsi="Calibri"/>
          <w:b/>
          <w:color w:val="4A6B25"/>
          <w:sz w:val="15"/>
        </w:rPr>
        <w:t xml:space="preserve">2. </w:t>
      </w:r>
      <w:r>
        <w:rPr>
          <w:rFonts w:ascii="Calibri" w:hAnsi="Calibri"/>
          <w:b w:val="0"/>
          <w:color w:val="3A4A28"/>
          <w:sz w:val="17"/>
        </w:rPr>
        <w:t>GlobeNewsWire / Investing.com — Fusemachines 2026 four-pillar growth strategy, retail and real estate verticals, December 2025</w:t>
      </w:r>
    </w:p>
    <w:p>
      <w:pPr>
        <w:spacing w:before="20" w:after="20"/>
        <w:ind w:left="170"/>
      </w:pPr>
      <w:r>
        <w:rPr>
          <w:rFonts w:ascii="Calibri" w:hAnsi="Calibri"/>
          <w:b/>
          <w:color w:val="4A6B25"/>
          <w:sz w:val="15"/>
        </w:rPr>
        <w:t xml:space="preserve">3. </w:t>
      </w:r>
      <w:r>
        <w:rPr>
          <w:rFonts w:ascii="Calibri" w:hAnsi="Calibri"/>
          <w:b w:val="0"/>
          <w:color w:val="3A4A28"/>
          <w:sz w:val="17"/>
        </w:rPr>
        <w:t>Fusemachines corporate website — AI products, AI Fellowship program, company mission, accessed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